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武清区东马圈镇安标垡村村庄规划（2021-2035年）公示</w:t>
      </w:r>
    </w:p>
    <w:p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28"/>
        </w:rPr>
        <w:t>一、规划范围</w:t>
      </w:r>
    </w:p>
    <w:p>
      <w:pPr>
        <w:pStyle w:val="10"/>
        <w:shd w:val="clear" w:color="auto" w:fill="FFFFFF"/>
        <w:spacing w:line="560" w:lineRule="exact"/>
        <w:ind w:firstLine="560"/>
        <w:rPr>
          <w:rFonts w:ascii="仿宋_GB2312" w:eastAsia="仿宋_GB2312"/>
          <w:color w:val="191919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东马圈镇安标垡村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行政村域全部国土空间总面积305.02公顷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，</w:t>
      </w:r>
      <w:r>
        <w:rPr>
          <w:rFonts w:hint="eastAsia" w:ascii="仿宋_GB2312" w:eastAsia="仿宋_GB2312"/>
          <w:color w:val="191919"/>
          <w:sz w:val="28"/>
          <w:szCs w:val="28"/>
        </w:rPr>
        <w:t>其中城镇开发边界内面积21.84公顷，其余用地为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本次村庄规划范围，用地面积为283.18公顷。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二、产业发展定位</w:t>
      </w:r>
    </w:p>
    <w:p>
      <w:pPr>
        <w:pStyle w:val="10"/>
        <w:widowControl/>
        <w:shd w:val="clear" w:color="auto" w:fill="FFFFFF"/>
        <w:spacing w:line="560" w:lineRule="exact"/>
        <w:ind w:firstLine="5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充分利用村庄耕地资源，发展</w:t>
      </w:r>
      <w:r>
        <w:rPr>
          <w:rFonts w:ascii="仿宋_GB2312" w:hAnsi="宋体" w:eastAsia="仿宋_GB2312" w:cs="宋体"/>
          <w:color w:val="191919"/>
          <w:kern w:val="0"/>
          <w:sz w:val="28"/>
          <w:szCs w:val="28"/>
        </w:rPr>
        <w:t>绿色种植，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提升村庄人居环境，建设宜居乡村。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三、用地规划</w:t>
      </w:r>
    </w:p>
    <w:p>
      <w:pPr>
        <w:pStyle w:val="10"/>
        <w:widowControl/>
        <w:shd w:val="clear" w:color="auto" w:fill="FFFFFF"/>
        <w:spacing w:line="560" w:lineRule="exact"/>
        <w:ind w:firstLine="5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结合村庄现状，综合考虑村民意愿，优化村庄用地布局，完善村庄公共服务设施及市政基础设施。保证耕地、永久基本农田、林地保有量规模。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四、主要控制指标</w:t>
      </w:r>
    </w:p>
    <w:p>
      <w:pPr>
        <w:pStyle w:val="10"/>
        <w:widowControl/>
        <w:shd w:val="clear" w:color="auto" w:fill="FFFFFF"/>
        <w:spacing w:line="560" w:lineRule="exact"/>
        <w:ind w:firstLine="5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严格落实上位规划要求，耕地保有量规模不低于142.60公顷，永久基本农田规模不低于137.87公顷，林地保有量规模不低于22.09公顷，实施特殊保护。实施建设用地总量控制和绿色发展要求，村庄建设用地指标总量控制在24.54公顷以内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五、近期建设计划</w:t>
      </w:r>
    </w:p>
    <w:p>
      <w:pPr>
        <w:pStyle w:val="10"/>
        <w:widowControl/>
        <w:shd w:val="clear" w:color="auto" w:fill="FFFFFF"/>
        <w:spacing w:line="560" w:lineRule="exact"/>
        <w:ind w:firstLine="5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规划至2025年前对村庄人居环境进行提升。</w:t>
      </w:r>
    </w:p>
    <w:p>
      <w:pPr>
        <w:pStyle w:val="10"/>
        <w:widowControl/>
        <w:shd w:val="clear" w:color="auto" w:fill="FFFFFF"/>
        <w:spacing w:line="560" w:lineRule="exact"/>
        <w:ind w:firstLine="5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公示时间为：2023年8月4日至2023年9月3日。</w:t>
      </w:r>
    </w:p>
    <w:p>
      <w:pPr>
        <w:pStyle w:val="10"/>
        <w:widowControl/>
        <w:shd w:val="clear" w:color="auto" w:fill="FFFFFF"/>
        <w:spacing w:line="560" w:lineRule="exact"/>
        <w:ind w:firstLine="560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</w:p>
    <w:p>
      <w:pPr>
        <w:pStyle w:val="10"/>
        <w:widowControl/>
        <w:shd w:val="clear" w:color="auto" w:fill="FFFFFF"/>
        <w:spacing w:line="560" w:lineRule="exact"/>
        <w:ind w:firstLine="560"/>
        <w:jc w:val="righ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东马圈镇人民政府</w:t>
      </w:r>
    </w:p>
    <w:p>
      <w:pPr>
        <w:pStyle w:val="10"/>
        <w:widowControl/>
        <w:shd w:val="clear" w:color="auto" w:fill="FFFFFF"/>
        <w:spacing w:line="560" w:lineRule="exact"/>
        <w:ind w:firstLine="560"/>
        <w:jc w:val="righ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191919"/>
          <w:kern w:val="0"/>
          <w:sz w:val="28"/>
          <w:szCs w:val="28"/>
        </w:rPr>
        <w:t>2023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年8月4日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站酷高端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StiffHei PRC Ultra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tiffHei PRC UltraBold">
    <w:panose1 w:val="00000500000000000000"/>
    <w:charset w:val="86"/>
    <w:family w:val="auto"/>
    <w:pitch w:val="default"/>
    <w:sig w:usb0="A00002BF" w:usb1="3ACF7CFA" w:usb2="00000016" w:usb3="00000000" w:csb0="00060007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站酷高端黑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D9"/>
    <w:rsid w:val="000C153F"/>
    <w:rsid w:val="000C17D9"/>
    <w:rsid w:val="00173579"/>
    <w:rsid w:val="0017718B"/>
    <w:rsid w:val="0023189C"/>
    <w:rsid w:val="00235DE5"/>
    <w:rsid w:val="00257D30"/>
    <w:rsid w:val="00267148"/>
    <w:rsid w:val="00386488"/>
    <w:rsid w:val="003C0FA0"/>
    <w:rsid w:val="00433831"/>
    <w:rsid w:val="004C3291"/>
    <w:rsid w:val="00595665"/>
    <w:rsid w:val="006F76B2"/>
    <w:rsid w:val="007569F6"/>
    <w:rsid w:val="007863B4"/>
    <w:rsid w:val="007A4D1A"/>
    <w:rsid w:val="0085659D"/>
    <w:rsid w:val="00861CC4"/>
    <w:rsid w:val="00937AF9"/>
    <w:rsid w:val="00956BA8"/>
    <w:rsid w:val="00A84A46"/>
    <w:rsid w:val="00AB3202"/>
    <w:rsid w:val="00B07390"/>
    <w:rsid w:val="00B608BF"/>
    <w:rsid w:val="00BD57B6"/>
    <w:rsid w:val="00BE4EA3"/>
    <w:rsid w:val="00CC5373"/>
    <w:rsid w:val="00D00B36"/>
    <w:rsid w:val="00D43756"/>
    <w:rsid w:val="00D806DB"/>
    <w:rsid w:val="00DD0D84"/>
    <w:rsid w:val="00E11FB9"/>
    <w:rsid w:val="00EA46C4"/>
    <w:rsid w:val="00EB5106"/>
    <w:rsid w:val="00EE5B73"/>
    <w:rsid w:val="00F06597"/>
    <w:rsid w:val="00FA4E0A"/>
    <w:rsid w:val="00FD5703"/>
    <w:rsid w:val="00FF423A"/>
    <w:rsid w:val="77F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900</TotalTime>
  <ScaleCrop>false</ScaleCrop>
  <LinksUpToDate>false</LinksUpToDate>
  <CharactersWithSpaces>435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2023-07-11T20:29:00Z</dcterms:created>
  <dc:creator>Administrator</dc:creator>
  <cp:lastModifiedBy>kylin</cp:lastModifiedBy>
  <cp:lastPrinted>2023-07-27T10:11:00Z</cp:lastPrinted>
  <dcterms:modified xsi:type="dcterms:W3CDTF">2023-08-04T12:32:54Z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