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61FBE">
      <w:pPr>
        <w:spacing w:line="400" w:lineRule="exact"/>
        <w:jc w:val="left"/>
        <w:rPr>
          <w:rFonts w:hint="eastAsia"/>
          <w:sz w:val="32"/>
        </w:rPr>
      </w:pPr>
      <w:bookmarkStart w:id="0" w:name="_GoBack"/>
      <w:bookmarkEnd w:id="0"/>
      <w:r>
        <w:rPr>
          <w:sz w:val="20"/>
          <w:lang/>
        </w:rPr>
        <mc:AlternateContent>
          <mc:Choice Requires="wps">
            <w:drawing>
              <wp:anchor distT="0" distB="0" distL="114300" distR="114300" simplePos="0" relativeHeight="251659264" behindDoc="0" locked="0" layoutInCell="1" allowOverlap="1">
                <wp:simplePos x="0" y="0"/>
                <wp:positionH relativeFrom="column">
                  <wp:posOffset>-429895</wp:posOffset>
                </wp:positionH>
                <wp:positionV relativeFrom="paragraph">
                  <wp:posOffset>86360</wp:posOffset>
                </wp:positionV>
                <wp:extent cx="6595745" cy="9930130"/>
                <wp:effectExtent l="4445" t="5080" r="10160" b="8890"/>
                <wp:wrapSquare wrapText="bothSides"/>
                <wp:docPr id="1" name="文本框 2"/>
                <wp:cNvGraphicFramePr/>
                <a:graphic xmlns:a="http://schemas.openxmlformats.org/drawingml/2006/main">
                  <a:graphicData uri="http://schemas.microsoft.com/office/word/2010/wordprocessingShape">
                    <wps:wsp>
                      <wps:cNvSpPr txBox="1"/>
                      <wps:spPr>
                        <a:xfrm>
                          <a:off x="0" y="0"/>
                          <a:ext cx="6595745" cy="99301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08CB8A">
                            <w:pPr>
                              <w:spacing w:line="480" w:lineRule="exact"/>
                              <w:rPr>
                                <w:rFonts w:hint="eastAsia" w:ascii="宋体" w:hAnsi="宋体"/>
                                <w:b/>
                                <w:bCs/>
                                <w:sz w:val="36"/>
                              </w:rPr>
                            </w:pPr>
                            <w:r>
                              <w:rPr>
                                <w:rFonts w:hint="eastAsia" w:ascii="宋体" w:hAnsi="宋体"/>
                                <w:b/>
                                <w:bCs/>
                                <w:sz w:val="36"/>
                              </w:rPr>
                              <w:t>审批意见：</w:t>
                            </w:r>
                          </w:p>
                          <w:p w14:paraId="05E87E6E">
                            <w:pPr>
                              <w:adjustRightInd w:val="0"/>
                              <w:spacing w:before="156" w:beforeLines="50" w:line="320" w:lineRule="exact"/>
                              <w:rPr>
                                <w:rFonts w:hint="eastAsia" w:ascii="宋体" w:hAnsi="宋体"/>
                                <w:szCs w:val="21"/>
                              </w:rPr>
                            </w:pPr>
                            <w:r>
                              <w:rPr>
                                <w:rFonts w:hint="eastAsia" w:ascii="宋体" w:hAnsi="宋体"/>
                                <w:szCs w:val="21"/>
                              </w:rPr>
                              <w:t>2</w:t>
                            </w:r>
                            <w:r>
                              <w:rPr>
                                <w:rFonts w:ascii="宋体" w:hAnsi="宋体"/>
                                <w:szCs w:val="21"/>
                              </w:rPr>
                              <w:t>4</w:t>
                            </w:r>
                            <w:r>
                              <w:rPr>
                                <w:rFonts w:hint="eastAsia" w:ascii="宋体" w:hAnsi="宋体"/>
                                <w:szCs w:val="21"/>
                              </w:rPr>
                              <w:t>1</w:t>
                            </w:r>
                            <w:r>
                              <w:rPr>
                                <w:rFonts w:hint="eastAsia" w:ascii="宋体" w:hAnsi="宋体"/>
                                <w:szCs w:val="21"/>
                                <w:lang w:val="en-US" w:eastAsia="zh-CN"/>
                              </w:rPr>
                              <w:t>2</w:t>
                            </w:r>
                            <w:r>
                              <w:rPr>
                                <w:rFonts w:hint="eastAsia" w:ascii="宋体" w:hAnsi="宋体"/>
                                <w:szCs w:val="21"/>
                              </w:rPr>
                              <w:t>-120114-89-0</w:t>
                            </w:r>
                            <w:r>
                              <w:rPr>
                                <w:rFonts w:ascii="宋体" w:hAnsi="宋体"/>
                                <w:szCs w:val="21"/>
                              </w:rPr>
                              <w:t>1</w:t>
                            </w:r>
                            <w:r>
                              <w:rPr>
                                <w:rFonts w:hint="eastAsia" w:ascii="宋体" w:hAnsi="宋体"/>
                                <w:szCs w:val="21"/>
                              </w:rPr>
                              <w:t>-</w:t>
                            </w:r>
                            <w:r>
                              <w:rPr>
                                <w:rFonts w:hint="eastAsia" w:ascii="宋体" w:hAnsi="宋体"/>
                                <w:szCs w:val="21"/>
                                <w:lang w:val="en-US" w:eastAsia="zh-CN"/>
                              </w:rPr>
                              <w:t>232256</w:t>
                            </w:r>
                            <w:r>
                              <w:rPr>
                                <w:rFonts w:hint="eastAsia" w:ascii="宋体" w:hAnsi="宋体"/>
                                <w:szCs w:val="21"/>
                              </w:rPr>
                              <w:t xml:space="preserve">                                                  津武审环表[2025]</w:t>
                            </w:r>
                            <w:r>
                              <w:rPr>
                                <w:rFonts w:hint="eastAsia" w:ascii="宋体" w:hAnsi="宋体"/>
                                <w:szCs w:val="21"/>
                                <w:lang w:val="en-US" w:eastAsia="zh-CN"/>
                              </w:rPr>
                              <w:t>73</w:t>
                            </w:r>
                            <w:r>
                              <w:rPr>
                                <w:rFonts w:hint="eastAsia" w:ascii="宋体" w:hAnsi="宋体"/>
                                <w:szCs w:val="21"/>
                              </w:rPr>
                              <w:t>号</w:t>
                            </w:r>
                          </w:p>
                          <w:p w14:paraId="3E0BCFCC">
                            <w:pPr>
                              <w:adjustRightInd w:val="0"/>
                              <w:spacing w:line="240" w:lineRule="exact"/>
                              <w:rPr>
                                <w:rFonts w:hint="eastAsia" w:ascii="宋体" w:hAnsi="宋体"/>
                                <w:szCs w:val="21"/>
                              </w:rPr>
                            </w:pPr>
                            <w:r>
                              <w:rPr>
                                <w:rFonts w:hint="eastAsia" w:ascii="宋体" w:hAnsi="宋体"/>
                                <w:szCs w:val="21"/>
                              </w:rPr>
                              <w:t>国网天津市电力公司</w:t>
                            </w:r>
                            <w:r>
                              <w:rPr>
                                <w:rFonts w:hint="eastAsia" w:ascii="宋体" w:hAnsi="宋体"/>
                                <w:szCs w:val="21"/>
                                <w:lang w:eastAsia="zh-CN"/>
                              </w:rPr>
                              <w:t>武清供电分公司</w:t>
                            </w:r>
                            <w:r>
                              <w:rPr>
                                <w:rFonts w:hint="eastAsia" w:ascii="宋体" w:hAnsi="宋体"/>
                                <w:szCs w:val="21"/>
                              </w:rPr>
                              <w:t>：</w:t>
                            </w:r>
                          </w:p>
                          <w:p w14:paraId="585772E3">
                            <w:pPr>
                              <w:adjustRightInd w:val="0"/>
                              <w:spacing w:line="240" w:lineRule="exact"/>
                              <w:ind w:firstLine="420" w:firstLineChars="200"/>
                              <w:rPr>
                                <w:rFonts w:hint="eastAsia" w:ascii="宋体" w:hAnsi="宋体"/>
                                <w:szCs w:val="21"/>
                              </w:rPr>
                            </w:pPr>
                            <w:r>
                              <w:rPr>
                                <w:rFonts w:hint="eastAsia" w:ascii="宋体" w:hAnsi="宋体"/>
                                <w:szCs w:val="21"/>
                              </w:rPr>
                              <w:t>你单位呈报的国网天津市电力公司武清供电分公司天津武清中联云港110千伏用户站接入工程项目环境影响报告表收悉，经研究，现批复如下：</w:t>
                            </w:r>
                          </w:p>
                          <w:p w14:paraId="53528435">
                            <w:pPr>
                              <w:adjustRightInd w:val="0"/>
                              <w:spacing w:line="240" w:lineRule="exact"/>
                              <w:ind w:firstLine="420" w:firstLineChars="200"/>
                              <w:rPr>
                                <w:rFonts w:hint="eastAsia" w:ascii="宋体" w:hAnsi="宋体"/>
                                <w:szCs w:val="21"/>
                              </w:rPr>
                            </w:pPr>
                            <w:r>
                              <w:rPr>
                                <w:rFonts w:hint="eastAsia" w:ascii="宋体" w:hAnsi="宋体"/>
                                <w:szCs w:val="21"/>
                              </w:rPr>
                              <w:t>一、该项目位于天津市武清区高村科技创新园内，项目总投资</w:t>
                            </w:r>
                            <w:r>
                              <w:rPr>
                                <w:rFonts w:hint="eastAsia" w:ascii="宋体" w:hAnsi="宋体"/>
                                <w:szCs w:val="21"/>
                                <w:lang w:val="en-US" w:eastAsia="zh-CN"/>
                              </w:rPr>
                              <w:t>428</w:t>
                            </w:r>
                            <w:r>
                              <w:rPr>
                                <w:rFonts w:hint="eastAsia" w:ascii="宋体" w:hAnsi="宋体"/>
                                <w:szCs w:val="21"/>
                              </w:rPr>
                              <w:t>万元，其中环保投资9万元，主要用于施工期废气、噪声、生态保护及恢复措施，运营期电磁环境控制措施。2025年</w:t>
                            </w:r>
                            <w:r>
                              <w:rPr>
                                <w:rFonts w:hint="eastAsia" w:ascii="宋体" w:hAnsi="宋体"/>
                                <w:szCs w:val="21"/>
                                <w:lang w:val="en-US" w:eastAsia="zh-CN"/>
                              </w:rPr>
                              <w:t>5</w:t>
                            </w:r>
                            <w:r>
                              <w:rPr>
                                <w:rFonts w:hint="eastAsia" w:ascii="宋体" w:hAnsi="宋体"/>
                                <w:szCs w:val="21"/>
                              </w:rPr>
                              <w:t>月2</w:t>
                            </w:r>
                            <w:r>
                              <w:rPr>
                                <w:rFonts w:hint="eastAsia" w:ascii="宋体" w:hAnsi="宋体"/>
                                <w:szCs w:val="21"/>
                                <w:lang w:val="en-US" w:eastAsia="zh-CN"/>
                              </w:rPr>
                              <w:t>7</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w:t>
                            </w:r>
                            <w:r>
                              <w:rPr>
                                <w:rFonts w:hint="eastAsia" w:ascii="宋体" w:hAnsi="宋体"/>
                                <w:color w:val="0000FF"/>
                                <w:szCs w:val="21"/>
                              </w:rPr>
                              <w:t>，</w:t>
                            </w:r>
                            <w:r>
                              <w:rPr>
                                <w:rFonts w:hint="eastAsia" w:ascii="宋体" w:hAnsi="宋体"/>
                                <w:szCs w:val="21"/>
                              </w:rPr>
                              <w:t>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1BB0CDF2">
                            <w:pPr>
                              <w:adjustRightInd w:val="0"/>
                              <w:spacing w:line="260" w:lineRule="exact"/>
                              <w:ind w:firstLine="420" w:firstLineChars="200"/>
                              <w:rPr>
                                <w:rFonts w:hint="eastAsia" w:ascii="宋体" w:hAnsi="宋体"/>
                                <w:szCs w:val="21"/>
                              </w:rPr>
                            </w:pPr>
                            <w:r>
                              <w:rPr>
                                <w:rFonts w:hint="eastAsia" w:ascii="宋体" w:hAnsi="宋体"/>
                                <w:szCs w:val="21"/>
                              </w:rPr>
                              <w:t>二、项目建设和运行过程中应对照环境影响报告表认真落实各项环保措施，并重点做好以下工作：</w:t>
                            </w:r>
                          </w:p>
                          <w:p w14:paraId="2F489E93">
                            <w:pPr>
                              <w:adjustRightInd w:val="0"/>
                              <w:spacing w:line="260" w:lineRule="exact"/>
                              <w:ind w:firstLine="420" w:firstLineChars="200"/>
                              <w:rPr>
                                <w:rFonts w:hint="eastAsia" w:ascii="宋体" w:hAnsi="宋体"/>
                                <w:szCs w:val="21"/>
                              </w:rPr>
                            </w:pPr>
                            <w:r>
                              <w:rPr>
                                <w:rFonts w:hint="eastAsia" w:ascii="宋体" w:hAnsi="宋体"/>
                                <w:szCs w:val="21"/>
                              </w:rPr>
                              <w:t>1、严格落实《天津市大气污染防治条例》、《天津市重污染天气应急预案》、《天津市建设工程施工现场防治扬尘管理暂行办法》等有关规定，落实“六个百分百”和重污染天气应急响应等大气环境保护措施。选用合格机械设备、做好运行维护，定期对施工机械、运输车辆排放废气进行检测，确保尾气达标排放。</w:t>
                            </w:r>
                          </w:p>
                          <w:p w14:paraId="495973B4">
                            <w:pPr>
                              <w:adjustRightInd w:val="0"/>
                              <w:spacing w:line="260" w:lineRule="exact"/>
                              <w:ind w:firstLine="420" w:firstLineChars="200"/>
                              <w:rPr>
                                <w:rFonts w:hint="eastAsia" w:ascii="宋体" w:hAnsi="宋体"/>
                                <w:szCs w:val="21"/>
                              </w:rPr>
                            </w:pPr>
                            <w:r>
                              <w:rPr>
                                <w:rFonts w:hint="eastAsia" w:ascii="宋体" w:hAnsi="宋体"/>
                                <w:szCs w:val="21"/>
                              </w:rPr>
                              <w:t>2、控制施工期噪声影响并做好监控。严格执行《中华人民共和国噪声污染防治法》、《天津市环境噪声污染防治管理办法》等相关规定，优化布置施工场地，选择合理的施工工艺，选用低噪声、低振动的施工机械设备，采取隔声减振措施，设置施工围挡，施工运输路线应尽量避开敏感目标，最大限度地降低对周围声环境的影响。合理安排施工作业时间，在噪声敏感建筑物集中区域，禁止夜间进行产生噪声的建筑施工作业，因特殊需要必须连续施工作业的，应当取得所在地相关主管部门的证明，并在施工现场显著位置公示或者以其他方式公告附近居民。</w:t>
                            </w:r>
                          </w:p>
                          <w:p w14:paraId="55C96B3E">
                            <w:pPr>
                              <w:adjustRightInd w:val="0"/>
                              <w:spacing w:line="260" w:lineRule="exact"/>
                              <w:ind w:firstLine="420" w:firstLineChars="200"/>
                              <w:rPr>
                                <w:rFonts w:hint="eastAsia" w:ascii="宋体" w:hAnsi="宋体"/>
                                <w:szCs w:val="21"/>
                              </w:rPr>
                            </w:pPr>
                            <w:r>
                              <w:rPr>
                                <w:rFonts w:hint="eastAsia" w:ascii="宋体" w:hAnsi="宋体"/>
                                <w:szCs w:val="21"/>
                              </w:rPr>
                              <w:t>3、认真落实报告表中施工期各项环境保护措施及要求，不得污染环境和噪声扰民。</w:t>
                            </w:r>
                          </w:p>
                          <w:p w14:paraId="0DE44DF2">
                            <w:pPr>
                              <w:adjustRightInd w:val="0"/>
                              <w:spacing w:line="260" w:lineRule="exact"/>
                              <w:ind w:firstLine="420" w:firstLineChars="200"/>
                              <w:rPr>
                                <w:rFonts w:hint="eastAsia" w:ascii="宋体" w:hAnsi="宋体"/>
                                <w:szCs w:val="21"/>
                              </w:rPr>
                            </w:pPr>
                            <w:r>
                              <w:rPr>
                                <w:rFonts w:hint="eastAsia" w:ascii="宋体" w:hAnsi="宋体"/>
                                <w:szCs w:val="21"/>
                              </w:rPr>
                              <w:t>4、营运期设备采取隔声降噪措施，严禁噪声扰民，确保噪声达标排放。</w:t>
                            </w:r>
                          </w:p>
                          <w:p w14:paraId="07CB6985">
                            <w:pPr>
                              <w:adjustRightInd w:val="0"/>
                              <w:spacing w:line="260" w:lineRule="exact"/>
                              <w:ind w:firstLine="420" w:firstLineChars="200"/>
                              <w:rPr>
                                <w:rFonts w:hint="eastAsia" w:ascii="宋体" w:hAnsi="宋体"/>
                                <w:szCs w:val="21"/>
                              </w:rPr>
                            </w:pPr>
                            <w:r>
                              <w:rPr>
                                <w:rFonts w:hint="eastAsia" w:ascii="宋体" w:hAnsi="宋体"/>
                                <w:szCs w:val="21"/>
                              </w:rPr>
                              <w:t>5、按照市局《关于加强我市排放口规范化整治工作的通知》(津环保监理[2002]71号)和《关于发布（天津市污染源排放口规范化技术要求）的通知》（津环保监测[2007]57号）要求，落实排污口规范化有关规定。</w:t>
                            </w:r>
                          </w:p>
                          <w:p w14:paraId="68BA348F">
                            <w:pPr>
                              <w:adjustRightInd w:val="0"/>
                              <w:spacing w:line="260" w:lineRule="exact"/>
                              <w:ind w:firstLine="420" w:firstLineChars="200"/>
                              <w:rPr>
                                <w:rFonts w:hint="eastAsia" w:ascii="宋体" w:hAnsi="宋体"/>
                                <w:szCs w:val="21"/>
                              </w:rPr>
                            </w:pPr>
                            <w:r>
                              <w:rPr>
                                <w:rFonts w:hint="eastAsia" w:ascii="宋体" w:hAnsi="宋体"/>
                                <w:szCs w:val="21"/>
                              </w:rPr>
                              <w:t>6、按照国家环境保护相关法律法规以及排污许可证申请与核发技术规范要求申请排污许可证，不得无证排污或不按证排污。</w:t>
                            </w:r>
                          </w:p>
                          <w:p w14:paraId="5BC9C5A1">
                            <w:pPr>
                              <w:adjustRightInd w:val="0"/>
                              <w:spacing w:line="260" w:lineRule="exact"/>
                              <w:ind w:firstLine="420" w:firstLineChars="200"/>
                              <w:rPr>
                                <w:rFonts w:hint="eastAsia" w:ascii="宋体" w:hAnsi="宋体"/>
                                <w:szCs w:val="21"/>
                              </w:rPr>
                            </w:pPr>
                            <w:r>
                              <w:rPr>
                                <w:rFonts w:hint="eastAsia" w:ascii="宋体" w:hAnsi="宋体"/>
                                <w:szCs w:val="21"/>
                              </w:rPr>
                              <w:t>7、加强环境风险防范工作，落实环境风险防范措施。健全环境保护管理机构，加强运营管理。</w:t>
                            </w:r>
                          </w:p>
                          <w:p w14:paraId="291B0BE7">
                            <w:pPr>
                              <w:adjustRightInd w:val="0"/>
                              <w:spacing w:line="260" w:lineRule="exact"/>
                              <w:ind w:firstLine="420" w:firstLineChars="200"/>
                              <w:rPr>
                                <w:rFonts w:hint="eastAsia" w:ascii="宋体" w:hAnsi="宋体"/>
                                <w:szCs w:val="21"/>
                              </w:rPr>
                            </w:pPr>
                            <w:r>
                              <w:rPr>
                                <w:rFonts w:hint="eastAsia" w:ascii="宋体" w:hAnsi="宋体"/>
                                <w:szCs w:val="21"/>
                              </w:rPr>
                              <w:t>8、做好施工期间的生态保护工作，及时进行生态恢复。</w:t>
                            </w:r>
                          </w:p>
                          <w:p w14:paraId="7A551317">
                            <w:pPr>
                              <w:adjustRightInd w:val="0"/>
                              <w:spacing w:line="260" w:lineRule="exact"/>
                              <w:ind w:firstLine="420" w:firstLineChars="200"/>
                              <w:rPr>
                                <w:rFonts w:hint="eastAsia"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432FD8CC">
                            <w:pPr>
                              <w:adjustRightInd w:val="0"/>
                              <w:spacing w:line="260" w:lineRule="exact"/>
                              <w:ind w:firstLine="420" w:firstLineChars="200"/>
                              <w:rPr>
                                <w:rFonts w:hint="eastAsia"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4962985F">
                            <w:pPr>
                              <w:adjustRightInd w:val="0"/>
                              <w:spacing w:line="260" w:lineRule="exact"/>
                              <w:ind w:firstLine="420" w:firstLineChars="200"/>
                              <w:rPr>
                                <w:rFonts w:hint="eastAsia"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31337245">
                            <w:pPr>
                              <w:adjustRightInd w:val="0"/>
                              <w:spacing w:line="260" w:lineRule="exact"/>
                              <w:ind w:firstLine="420" w:firstLineChars="200"/>
                              <w:rPr>
                                <w:rFonts w:hint="eastAsia"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43B5A387">
                            <w:pPr>
                              <w:adjustRightInd w:val="0"/>
                              <w:spacing w:line="260" w:lineRule="exact"/>
                              <w:ind w:firstLine="420" w:firstLineChars="200"/>
                              <w:rPr>
                                <w:rFonts w:hint="eastAsia" w:ascii="宋体" w:hAnsi="宋体"/>
                                <w:szCs w:val="21"/>
                              </w:rPr>
                            </w:pPr>
                            <w:r>
                              <w:rPr>
                                <w:rFonts w:hint="eastAsia" w:ascii="宋体" w:hAnsi="宋体"/>
                                <w:szCs w:val="21"/>
                              </w:rPr>
                              <w:t>七、请武清区生态环境局及相关部门做好该项目“三同时”监督检查和日常监督管理工作。</w:t>
                            </w:r>
                          </w:p>
                          <w:p w14:paraId="60411773">
                            <w:pPr>
                              <w:adjustRightInd w:val="0"/>
                              <w:spacing w:line="260" w:lineRule="exact"/>
                              <w:ind w:firstLine="420" w:firstLineChars="200"/>
                              <w:rPr>
                                <w:rFonts w:hint="eastAsia" w:ascii="宋体" w:hAnsi="宋体"/>
                                <w:szCs w:val="21"/>
                              </w:rPr>
                            </w:pPr>
                            <w:r>
                              <w:rPr>
                                <w:rFonts w:hint="eastAsia" w:ascii="宋体" w:hAnsi="宋体"/>
                                <w:szCs w:val="21"/>
                              </w:rPr>
                              <w:t>八、建设单位应执行以下环境标准：</w:t>
                            </w:r>
                          </w:p>
                          <w:p w14:paraId="3462E60B">
                            <w:pPr>
                              <w:adjustRightInd w:val="0"/>
                              <w:spacing w:line="260" w:lineRule="exact"/>
                              <w:ind w:firstLine="420" w:firstLineChars="200"/>
                              <w:rPr>
                                <w:rFonts w:ascii="宋体" w:hAnsi="宋体"/>
                                <w:szCs w:val="21"/>
                              </w:rPr>
                            </w:pPr>
                            <w:r>
                              <w:rPr>
                                <w:rFonts w:hint="eastAsia" w:ascii="宋体" w:hAnsi="宋体"/>
                                <w:szCs w:val="21"/>
                              </w:rPr>
                              <w:t>《环境空气质量标准》GB3095-2012及修改单</w:t>
                            </w:r>
                          </w:p>
                          <w:p w14:paraId="7940F042">
                            <w:pPr>
                              <w:adjustRightInd w:val="0"/>
                              <w:spacing w:line="260" w:lineRule="exact"/>
                              <w:ind w:firstLine="420" w:firstLineChars="200"/>
                              <w:rPr>
                                <w:rFonts w:hint="eastAsia" w:ascii="宋体" w:hAnsi="宋体"/>
                                <w:szCs w:val="21"/>
                              </w:rPr>
                            </w:pPr>
                            <w:r>
                              <w:rPr>
                                <w:rFonts w:hint="eastAsia" w:ascii="宋体" w:hAnsi="宋体"/>
                                <w:szCs w:val="21"/>
                              </w:rPr>
                              <w:t>《建筑施工场界环境噪声排放标准》GB12523-2011</w:t>
                            </w:r>
                          </w:p>
                          <w:p w14:paraId="14D3814B">
                            <w:pPr>
                              <w:adjustRightInd w:val="0"/>
                              <w:spacing w:line="260" w:lineRule="exact"/>
                              <w:ind w:firstLine="420" w:firstLineChars="200"/>
                              <w:rPr>
                                <w:rFonts w:hint="eastAsia" w:ascii="宋体" w:hAnsi="宋体"/>
                                <w:szCs w:val="21"/>
                              </w:rPr>
                            </w:pPr>
                            <w:r>
                              <w:rPr>
                                <w:rFonts w:hint="eastAsia" w:ascii="宋体" w:hAnsi="宋体"/>
                                <w:szCs w:val="21"/>
                              </w:rPr>
                              <w:t>《电磁环境控制限值》GB8702-2014</w:t>
                            </w:r>
                          </w:p>
                          <w:p w14:paraId="516323A2">
                            <w:pPr>
                              <w:adjustRightInd w:val="0"/>
                              <w:spacing w:line="260" w:lineRule="exact"/>
                              <w:ind w:firstLine="420" w:firstLineChars="200"/>
                              <w:rPr>
                                <w:rFonts w:hint="eastAsia" w:ascii="宋体" w:hAnsi="宋体"/>
                                <w:szCs w:val="21"/>
                              </w:rPr>
                            </w:pPr>
                            <w:r>
                              <w:rPr>
                                <w:rFonts w:hint="eastAsia" w:ascii="宋体" w:hAnsi="宋体"/>
                                <w:szCs w:val="21"/>
                              </w:rPr>
                              <w:t xml:space="preserve">                                                           </w:t>
                            </w:r>
                          </w:p>
                          <w:p w14:paraId="5B5D95EC">
                            <w:pPr>
                              <w:adjustRightInd w:val="0"/>
                              <w:spacing w:line="260" w:lineRule="exact"/>
                              <w:ind w:firstLine="7770" w:firstLineChars="3700"/>
                              <w:rPr>
                                <w:rFonts w:hint="eastAsia" w:ascii="宋体" w:hAnsi="宋体"/>
                                <w:szCs w:val="21"/>
                              </w:rPr>
                            </w:pPr>
                            <w:r>
                              <w:rPr>
                                <w:rFonts w:hint="eastAsia" w:ascii="宋体" w:hAnsi="宋体"/>
                                <w:szCs w:val="21"/>
                              </w:rPr>
                              <w:t>公  章</w:t>
                            </w:r>
                          </w:p>
                          <w:p w14:paraId="70B9F9C9">
                            <w:pPr>
                              <w:adjustRightInd w:val="0"/>
                              <w:spacing w:line="320" w:lineRule="exact"/>
                              <w:ind w:firstLine="420" w:firstLineChars="200"/>
                              <w:rPr>
                                <w:rFonts w:hint="eastAsia" w:ascii="宋体" w:hAnsi="宋体"/>
                                <w:szCs w:val="21"/>
                              </w:rPr>
                            </w:pPr>
                            <w:r>
                              <w:rPr>
                                <w:rFonts w:hint="eastAsia" w:ascii="宋体" w:hAnsi="宋体"/>
                                <w:szCs w:val="21"/>
                              </w:rPr>
                              <w:t xml:space="preserve">                                                                  2025年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1</w:t>
                            </w:r>
                            <w:r>
                              <w:rPr>
                                <w:rFonts w:hint="eastAsia" w:ascii="宋体" w:hAnsi="宋体"/>
                                <w:szCs w:val="21"/>
                              </w:rPr>
                              <w:t>日</w:t>
                            </w:r>
                          </w:p>
                        </w:txbxContent>
                      </wps:txbx>
                      <wps:bodyPr wrap="square" upright="1"/>
                    </wps:wsp>
                  </a:graphicData>
                </a:graphic>
              </wp:anchor>
            </w:drawing>
          </mc:Choice>
          <mc:Fallback>
            <w:pict>
              <v:shape id="文本框 2" o:spid="_x0000_s1026" o:spt="202" type="#_x0000_t202" style="position:absolute;left:0pt;margin-left:-33.85pt;margin-top:6.8pt;height:781.9pt;width:519.35pt;mso-wrap-distance-bottom:0pt;mso-wrap-distance-left:9pt;mso-wrap-distance-right:9pt;mso-wrap-distance-top:0pt;z-index:251659264;mso-width-relative:page;mso-height-relative:page;" fillcolor="#FFFFFF" filled="t" stroked="t" coordsize="21600,21600" o:gfxdata="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LSB7ZAAAACwEAAA8A&#10;AAAAAAAAAQAgAAAAIgAAAGRycy9kb3ducmV2LnhtbFBLAQIUABQAAAAIAIdO4kAUpRsVFgIAAEUE&#10;AAAOAAAAAAAAAAEAIAAAACgBAABkcnMvZTJvRG9jLnhtbFBLBQYAAAAABgAGAFkBAACwBQAAAAA=&#10;">
                <v:fill on="t" focussize="0,0"/>
                <v:stroke color="#000000" joinstyle="miter"/>
                <v:imagedata o:title=""/>
                <o:lock v:ext="edit" aspectratio="f"/>
                <v:textbox>
                  <w:txbxContent>
                    <w:p w14:paraId="1408CB8A">
                      <w:pPr>
                        <w:spacing w:line="480" w:lineRule="exact"/>
                        <w:rPr>
                          <w:rFonts w:hint="eastAsia" w:ascii="宋体" w:hAnsi="宋体"/>
                          <w:b/>
                          <w:bCs/>
                          <w:sz w:val="36"/>
                        </w:rPr>
                      </w:pPr>
                      <w:r>
                        <w:rPr>
                          <w:rFonts w:hint="eastAsia" w:ascii="宋体" w:hAnsi="宋体"/>
                          <w:b/>
                          <w:bCs/>
                          <w:sz w:val="36"/>
                        </w:rPr>
                        <w:t>审批意见：</w:t>
                      </w:r>
                    </w:p>
                    <w:p w14:paraId="05E87E6E">
                      <w:pPr>
                        <w:adjustRightInd w:val="0"/>
                        <w:spacing w:before="156" w:beforeLines="50" w:line="320" w:lineRule="exact"/>
                        <w:rPr>
                          <w:rFonts w:hint="eastAsia" w:ascii="宋体" w:hAnsi="宋体"/>
                          <w:szCs w:val="21"/>
                        </w:rPr>
                      </w:pPr>
                      <w:r>
                        <w:rPr>
                          <w:rFonts w:hint="eastAsia" w:ascii="宋体" w:hAnsi="宋体"/>
                          <w:szCs w:val="21"/>
                        </w:rPr>
                        <w:t>2</w:t>
                      </w:r>
                      <w:r>
                        <w:rPr>
                          <w:rFonts w:ascii="宋体" w:hAnsi="宋体"/>
                          <w:szCs w:val="21"/>
                        </w:rPr>
                        <w:t>4</w:t>
                      </w:r>
                      <w:r>
                        <w:rPr>
                          <w:rFonts w:hint="eastAsia" w:ascii="宋体" w:hAnsi="宋体"/>
                          <w:szCs w:val="21"/>
                        </w:rPr>
                        <w:t>1</w:t>
                      </w:r>
                      <w:r>
                        <w:rPr>
                          <w:rFonts w:hint="eastAsia" w:ascii="宋体" w:hAnsi="宋体"/>
                          <w:szCs w:val="21"/>
                          <w:lang w:val="en-US" w:eastAsia="zh-CN"/>
                        </w:rPr>
                        <w:t>2</w:t>
                      </w:r>
                      <w:r>
                        <w:rPr>
                          <w:rFonts w:hint="eastAsia" w:ascii="宋体" w:hAnsi="宋体"/>
                          <w:szCs w:val="21"/>
                        </w:rPr>
                        <w:t>-120114-89-0</w:t>
                      </w:r>
                      <w:r>
                        <w:rPr>
                          <w:rFonts w:ascii="宋体" w:hAnsi="宋体"/>
                          <w:szCs w:val="21"/>
                        </w:rPr>
                        <w:t>1</w:t>
                      </w:r>
                      <w:r>
                        <w:rPr>
                          <w:rFonts w:hint="eastAsia" w:ascii="宋体" w:hAnsi="宋体"/>
                          <w:szCs w:val="21"/>
                        </w:rPr>
                        <w:t>-</w:t>
                      </w:r>
                      <w:r>
                        <w:rPr>
                          <w:rFonts w:hint="eastAsia" w:ascii="宋体" w:hAnsi="宋体"/>
                          <w:szCs w:val="21"/>
                          <w:lang w:val="en-US" w:eastAsia="zh-CN"/>
                        </w:rPr>
                        <w:t>232256</w:t>
                      </w:r>
                      <w:r>
                        <w:rPr>
                          <w:rFonts w:hint="eastAsia" w:ascii="宋体" w:hAnsi="宋体"/>
                          <w:szCs w:val="21"/>
                        </w:rPr>
                        <w:t xml:space="preserve">                                                  津武审环表[2025]</w:t>
                      </w:r>
                      <w:r>
                        <w:rPr>
                          <w:rFonts w:hint="eastAsia" w:ascii="宋体" w:hAnsi="宋体"/>
                          <w:szCs w:val="21"/>
                          <w:lang w:val="en-US" w:eastAsia="zh-CN"/>
                        </w:rPr>
                        <w:t>73</w:t>
                      </w:r>
                      <w:r>
                        <w:rPr>
                          <w:rFonts w:hint="eastAsia" w:ascii="宋体" w:hAnsi="宋体"/>
                          <w:szCs w:val="21"/>
                        </w:rPr>
                        <w:t>号</w:t>
                      </w:r>
                    </w:p>
                    <w:p w14:paraId="3E0BCFCC">
                      <w:pPr>
                        <w:adjustRightInd w:val="0"/>
                        <w:spacing w:line="240" w:lineRule="exact"/>
                        <w:rPr>
                          <w:rFonts w:hint="eastAsia" w:ascii="宋体" w:hAnsi="宋体"/>
                          <w:szCs w:val="21"/>
                        </w:rPr>
                      </w:pPr>
                      <w:r>
                        <w:rPr>
                          <w:rFonts w:hint="eastAsia" w:ascii="宋体" w:hAnsi="宋体"/>
                          <w:szCs w:val="21"/>
                        </w:rPr>
                        <w:t>国网天津市电力公司</w:t>
                      </w:r>
                      <w:r>
                        <w:rPr>
                          <w:rFonts w:hint="eastAsia" w:ascii="宋体" w:hAnsi="宋体"/>
                          <w:szCs w:val="21"/>
                          <w:lang w:eastAsia="zh-CN"/>
                        </w:rPr>
                        <w:t>武清供电分公司</w:t>
                      </w:r>
                      <w:r>
                        <w:rPr>
                          <w:rFonts w:hint="eastAsia" w:ascii="宋体" w:hAnsi="宋体"/>
                          <w:szCs w:val="21"/>
                        </w:rPr>
                        <w:t>：</w:t>
                      </w:r>
                    </w:p>
                    <w:p w14:paraId="585772E3">
                      <w:pPr>
                        <w:adjustRightInd w:val="0"/>
                        <w:spacing w:line="240" w:lineRule="exact"/>
                        <w:ind w:firstLine="420" w:firstLineChars="200"/>
                        <w:rPr>
                          <w:rFonts w:hint="eastAsia" w:ascii="宋体" w:hAnsi="宋体"/>
                          <w:szCs w:val="21"/>
                        </w:rPr>
                      </w:pPr>
                      <w:r>
                        <w:rPr>
                          <w:rFonts w:hint="eastAsia" w:ascii="宋体" w:hAnsi="宋体"/>
                          <w:szCs w:val="21"/>
                        </w:rPr>
                        <w:t>你单位呈报的国网天津市电力公司武清供电分公司天津武清中联云港110千伏用户站接入工程项目环境影响报告表收悉，经研究，现批复如下：</w:t>
                      </w:r>
                    </w:p>
                    <w:p w14:paraId="53528435">
                      <w:pPr>
                        <w:adjustRightInd w:val="0"/>
                        <w:spacing w:line="240" w:lineRule="exact"/>
                        <w:ind w:firstLine="420" w:firstLineChars="200"/>
                        <w:rPr>
                          <w:rFonts w:hint="eastAsia" w:ascii="宋体" w:hAnsi="宋体"/>
                          <w:szCs w:val="21"/>
                        </w:rPr>
                      </w:pPr>
                      <w:r>
                        <w:rPr>
                          <w:rFonts w:hint="eastAsia" w:ascii="宋体" w:hAnsi="宋体"/>
                          <w:szCs w:val="21"/>
                        </w:rPr>
                        <w:t>一、该项目位于天津市武清区高村科技创新园内，项目总投资</w:t>
                      </w:r>
                      <w:r>
                        <w:rPr>
                          <w:rFonts w:hint="eastAsia" w:ascii="宋体" w:hAnsi="宋体"/>
                          <w:szCs w:val="21"/>
                          <w:lang w:val="en-US" w:eastAsia="zh-CN"/>
                        </w:rPr>
                        <w:t>428</w:t>
                      </w:r>
                      <w:r>
                        <w:rPr>
                          <w:rFonts w:hint="eastAsia" w:ascii="宋体" w:hAnsi="宋体"/>
                          <w:szCs w:val="21"/>
                        </w:rPr>
                        <w:t>万元，其中环保投资9万元，主要用于施工期废气、噪声、生态保护及恢复措施，运营期电磁环境控制措施。2025年</w:t>
                      </w:r>
                      <w:r>
                        <w:rPr>
                          <w:rFonts w:hint="eastAsia" w:ascii="宋体" w:hAnsi="宋体"/>
                          <w:szCs w:val="21"/>
                          <w:lang w:val="en-US" w:eastAsia="zh-CN"/>
                        </w:rPr>
                        <w:t>5</w:t>
                      </w:r>
                      <w:r>
                        <w:rPr>
                          <w:rFonts w:hint="eastAsia" w:ascii="宋体" w:hAnsi="宋体"/>
                          <w:szCs w:val="21"/>
                        </w:rPr>
                        <w:t>月2</w:t>
                      </w:r>
                      <w:r>
                        <w:rPr>
                          <w:rFonts w:hint="eastAsia" w:ascii="宋体" w:hAnsi="宋体"/>
                          <w:szCs w:val="21"/>
                          <w:lang w:val="en-US" w:eastAsia="zh-CN"/>
                        </w:rPr>
                        <w:t>7</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日，2025年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日至2025年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0</w:t>
                      </w:r>
                      <w:r>
                        <w:rPr>
                          <w:rFonts w:hint="eastAsia" w:ascii="宋体" w:hAnsi="宋体"/>
                          <w:szCs w:val="21"/>
                        </w:rPr>
                        <w:t>日</w:t>
                      </w:r>
                      <w:r>
                        <w:rPr>
                          <w:rFonts w:hint="eastAsia" w:ascii="宋体" w:hAnsi="宋体"/>
                          <w:color w:val="0000FF"/>
                          <w:szCs w:val="21"/>
                        </w:rPr>
                        <w:t>，</w:t>
                      </w:r>
                      <w:r>
                        <w:rPr>
                          <w:rFonts w:hint="eastAsia" w:ascii="宋体" w:hAnsi="宋体"/>
                          <w:szCs w:val="21"/>
                        </w:rPr>
                        <w:t>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1BB0CDF2">
                      <w:pPr>
                        <w:adjustRightInd w:val="0"/>
                        <w:spacing w:line="260" w:lineRule="exact"/>
                        <w:ind w:firstLine="420" w:firstLineChars="200"/>
                        <w:rPr>
                          <w:rFonts w:hint="eastAsia" w:ascii="宋体" w:hAnsi="宋体"/>
                          <w:szCs w:val="21"/>
                        </w:rPr>
                      </w:pPr>
                      <w:r>
                        <w:rPr>
                          <w:rFonts w:hint="eastAsia" w:ascii="宋体" w:hAnsi="宋体"/>
                          <w:szCs w:val="21"/>
                        </w:rPr>
                        <w:t>二、项目建设和运行过程中应对照环境影响报告表认真落实各项环保措施，并重点做好以下工作：</w:t>
                      </w:r>
                    </w:p>
                    <w:p w14:paraId="2F489E93">
                      <w:pPr>
                        <w:adjustRightInd w:val="0"/>
                        <w:spacing w:line="260" w:lineRule="exact"/>
                        <w:ind w:firstLine="420" w:firstLineChars="200"/>
                        <w:rPr>
                          <w:rFonts w:hint="eastAsia" w:ascii="宋体" w:hAnsi="宋体"/>
                          <w:szCs w:val="21"/>
                        </w:rPr>
                      </w:pPr>
                      <w:r>
                        <w:rPr>
                          <w:rFonts w:hint="eastAsia" w:ascii="宋体" w:hAnsi="宋体"/>
                          <w:szCs w:val="21"/>
                        </w:rPr>
                        <w:t>1、严格落实《天津市大气污染防治条例》、《天津市重污染天气应急预案》、《天津市建设工程施工现场防治扬尘管理暂行办法》等有关规定，落实“六个百分百”和重污染天气应急响应等大气环境保护措施。选用合格机械设备、做好运行维护，定期对施工机械、运输车辆排放废气进行检测，确保尾气达标排放。</w:t>
                      </w:r>
                    </w:p>
                    <w:p w14:paraId="495973B4">
                      <w:pPr>
                        <w:adjustRightInd w:val="0"/>
                        <w:spacing w:line="260" w:lineRule="exact"/>
                        <w:ind w:firstLine="420" w:firstLineChars="200"/>
                        <w:rPr>
                          <w:rFonts w:hint="eastAsia" w:ascii="宋体" w:hAnsi="宋体"/>
                          <w:szCs w:val="21"/>
                        </w:rPr>
                      </w:pPr>
                      <w:r>
                        <w:rPr>
                          <w:rFonts w:hint="eastAsia" w:ascii="宋体" w:hAnsi="宋体"/>
                          <w:szCs w:val="21"/>
                        </w:rPr>
                        <w:t>2、控制施工期噪声影响并做好监控。严格执行《中华人民共和国噪声污染防治法》、《天津市环境噪声污染防治管理办法》等相关规定，优化布置施工场地，选择合理的施工工艺，选用低噪声、低振动的施工机械设备，采取隔声减振措施，设置施工围挡，施工运输路线应尽量避开敏感目标，最大限度地降低对周围声环境的影响。合理安排施工作业时间，在噪声敏感建筑物集中区域，禁止夜间进行产生噪声的建筑施工作业，因特殊需要必须连续施工作业的，应当取得所在地相关主管部门的证明，并在施工现场显著位置公示或者以其他方式公告附近居民。</w:t>
                      </w:r>
                    </w:p>
                    <w:p w14:paraId="55C96B3E">
                      <w:pPr>
                        <w:adjustRightInd w:val="0"/>
                        <w:spacing w:line="260" w:lineRule="exact"/>
                        <w:ind w:firstLine="420" w:firstLineChars="200"/>
                        <w:rPr>
                          <w:rFonts w:hint="eastAsia" w:ascii="宋体" w:hAnsi="宋体"/>
                          <w:szCs w:val="21"/>
                        </w:rPr>
                      </w:pPr>
                      <w:r>
                        <w:rPr>
                          <w:rFonts w:hint="eastAsia" w:ascii="宋体" w:hAnsi="宋体"/>
                          <w:szCs w:val="21"/>
                        </w:rPr>
                        <w:t>3、认真落实报告表中施工期各项环境保护措施及要求，不得污染环境和噪声扰民。</w:t>
                      </w:r>
                    </w:p>
                    <w:p w14:paraId="0DE44DF2">
                      <w:pPr>
                        <w:adjustRightInd w:val="0"/>
                        <w:spacing w:line="260" w:lineRule="exact"/>
                        <w:ind w:firstLine="420" w:firstLineChars="200"/>
                        <w:rPr>
                          <w:rFonts w:hint="eastAsia" w:ascii="宋体" w:hAnsi="宋体"/>
                          <w:szCs w:val="21"/>
                        </w:rPr>
                      </w:pPr>
                      <w:r>
                        <w:rPr>
                          <w:rFonts w:hint="eastAsia" w:ascii="宋体" w:hAnsi="宋体"/>
                          <w:szCs w:val="21"/>
                        </w:rPr>
                        <w:t>4、营运期设备采取隔声降噪措施，严禁噪声扰民，确保噪声达标排放。</w:t>
                      </w:r>
                    </w:p>
                    <w:p w14:paraId="07CB6985">
                      <w:pPr>
                        <w:adjustRightInd w:val="0"/>
                        <w:spacing w:line="260" w:lineRule="exact"/>
                        <w:ind w:firstLine="420" w:firstLineChars="200"/>
                        <w:rPr>
                          <w:rFonts w:hint="eastAsia" w:ascii="宋体" w:hAnsi="宋体"/>
                          <w:szCs w:val="21"/>
                        </w:rPr>
                      </w:pPr>
                      <w:r>
                        <w:rPr>
                          <w:rFonts w:hint="eastAsia" w:ascii="宋体" w:hAnsi="宋体"/>
                          <w:szCs w:val="21"/>
                        </w:rPr>
                        <w:t>5、按照市局《关于加强我市排放口规范化整治工作的通知》(津环保监理[2002]71号)和《关于发布（天津市污染源排放口规范化技术要求）的通知》（津环保监测[2007]57号）要求，落实排污口规范化有关规定。</w:t>
                      </w:r>
                    </w:p>
                    <w:p w14:paraId="68BA348F">
                      <w:pPr>
                        <w:adjustRightInd w:val="0"/>
                        <w:spacing w:line="260" w:lineRule="exact"/>
                        <w:ind w:firstLine="420" w:firstLineChars="200"/>
                        <w:rPr>
                          <w:rFonts w:hint="eastAsia" w:ascii="宋体" w:hAnsi="宋体"/>
                          <w:szCs w:val="21"/>
                        </w:rPr>
                      </w:pPr>
                      <w:r>
                        <w:rPr>
                          <w:rFonts w:hint="eastAsia" w:ascii="宋体" w:hAnsi="宋体"/>
                          <w:szCs w:val="21"/>
                        </w:rPr>
                        <w:t>6、按照国家环境保护相关法律法规以及排污许可证申请与核发技术规范要求申请排污许可证，不得无证排污或不按证排污。</w:t>
                      </w:r>
                    </w:p>
                    <w:p w14:paraId="5BC9C5A1">
                      <w:pPr>
                        <w:adjustRightInd w:val="0"/>
                        <w:spacing w:line="260" w:lineRule="exact"/>
                        <w:ind w:firstLine="420" w:firstLineChars="200"/>
                        <w:rPr>
                          <w:rFonts w:hint="eastAsia" w:ascii="宋体" w:hAnsi="宋体"/>
                          <w:szCs w:val="21"/>
                        </w:rPr>
                      </w:pPr>
                      <w:r>
                        <w:rPr>
                          <w:rFonts w:hint="eastAsia" w:ascii="宋体" w:hAnsi="宋体"/>
                          <w:szCs w:val="21"/>
                        </w:rPr>
                        <w:t>7、加强环境风险防范工作，落实环境风险防范措施。健全环境保护管理机构，加强运营管理。</w:t>
                      </w:r>
                    </w:p>
                    <w:p w14:paraId="291B0BE7">
                      <w:pPr>
                        <w:adjustRightInd w:val="0"/>
                        <w:spacing w:line="260" w:lineRule="exact"/>
                        <w:ind w:firstLine="420" w:firstLineChars="200"/>
                        <w:rPr>
                          <w:rFonts w:hint="eastAsia" w:ascii="宋体" w:hAnsi="宋体"/>
                          <w:szCs w:val="21"/>
                        </w:rPr>
                      </w:pPr>
                      <w:r>
                        <w:rPr>
                          <w:rFonts w:hint="eastAsia" w:ascii="宋体" w:hAnsi="宋体"/>
                          <w:szCs w:val="21"/>
                        </w:rPr>
                        <w:t>8、做好施工期间的生态保护工作，及时进行生态恢复。</w:t>
                      </w:r>
                    </w:p>
                    <w:p w14:paraId="7A551317">
                      <w:pPr>
                        <w:adjustRightInd w:val="0"/>
                        <w:spacing w:line="260" w:lineRule="exact"/>
                        <w:ind w:firstLine="420" w:firstLineChars="200"/>
                        <w:rPr>
                          <w:rFonts w:hint="eastAsia"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432FD8CC">
                      <w:pPr>
                        <w:adjustRightInd w:val="0"/>
                        <w:spacing w:line="260" w:lineRule="exact"/>
                        <w:ind w:firstLine="420" w:firstLineChars="200"/>
                        <w:rPr>
                          <w:rFonts w:hint="eastAsia"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4962985F">
                      <w:pPr>
                        <w:adjustRightInd w:val="0"/>
                        <w:spacing w:line="260" w:lineRule="exact"/>
                        <w:ind w:firstLine="420" w:firstLineChars="200"/>
                        <w:rPr>
                          <w:rFonts w:hint="eastAsia"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31337245">
                      <w:pPr>
                        <w:adjustRightInd w:val="0"/>
                        <w:spacing w:line="260" w:lineRule="exact"/>
                        <w:ind w:firstLine="420" w:firstLineChars="200"/>
                        <w:rPr>
                          <w:rFonts w:hint="eastAsia"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43B5A387">
                      <w:pPr>
                        <w:adjustRightInd w:val="0"/>
                        <w:spacing w:line="260" w:lineRule="exact"/>
                        <w:ind w:firstLine="420" w:firstLineChars="200"/>
                        <w:rPr>
                          <w:rFonts w:hint="eastAsia" w:ascii="宋体" w:hAnsi="宋体"/>
                          <w:szCs w:val="21"/>
                        </w:rPr>
                      </w:pPr>
                      <w:r>
                        <w:rPr>
                          <w:rFonts w:hint="eastAsia" w:ascii="宋体" w:hAnsi="宋体"/>
                          <w:szCs w:val="21"/>
                        </w:rPr>
                        <w:t>七、请武清区生态环境局及相关部门做好该项目“三同时”监督检查和日常监督管理工作。</w:t>
                      </w:r>
                    </w:p>
                    <w:p w14:paraId="60411773">
                      <w:pPr>
                        <w:adjustRightInd w:val="0"/>
                        <w:spacing w:line="260" w:lineRule="exact"/>
                        <w:ind w:firstLine="420" w:firstLineChars="200"/>
                        <w:rPr>
                          <w:rFonts w:hint="eastAsia" w:ascii="宋体" w:hAnsi="宋体"/>
                          <w:szCs w:val="21"/>
                        </w:rPr>
                      </w:pPr>
                      <w:r>
                        <w:rPr>
                          <w:rFonts w:hint="eastAsia" w:ascii="宋体" w:hAnsi="宋体"/>
                          <w:szCs w:val="21"/>
                        </w:rPr>
                        <w:t>八、建设单位应执行以下环境标准：</w:t>
                      </w:r>
                    </w:p>
                    <w:p w14:paraId="3462E60B">
                      <w:pPr>
                        <w:adjustRightInd w:val="0"/>
                        <w:spacing w:line="260" w:lineRule="exact"/>
                        <w:ind w:firstLine="420" w:firstLineChars="200"/>
                        <w:rPr>
                          <w:rFonts w:ascii="宋体" w:hAnsi="宋体"/>
                          <w:szCs w:val="21"/>
                        </w:rPr>
                      </w:pPr>
                      <w:r>
                        <w:rPr>
                          <w:rFonts w:hint="eastAsia" w:ascii="宋体" w:hAnsi="宋体"/>
                          <w:szCs w:val="21"/>
                        </w:rPr>
                        <w:t>《环境空气质量标准》GB3095-2012及修改单</w:t>
                      </w:r>
                    </w:p>
                    <w:p w14:paraId="7940F042">
                      <w:pPr>
                        <w:adjustRightInd w:val="0"/>
                        <w:spacing w:line="260" w:lineRule="exact"/>
                        <w:ind w:firstLine="420" w:firstLineChars="200"/>
                        <w:rPr>
                          <w:rFonts w:hint="eastAsia" w:ascii="宋体" w:hAnsi="宋体"/>
                          <w:szCs w:val="21"/>
                        </w:rPr>
                      </w:pPr>
                      <w:r>
                        <w:rPr>
                          <w:rFonts w:hint="eastAsia" w:ascii="宋体" w:hAnsi="宋体"/>
                          <w:szCs w:val="21"/>
                        </w:rPr>
                        <w:t>《建筑施工场界环境噪声排放标准》GB12523-2011</w:t>
                      </w:r>
                    </w:p>
                    <w:p w14:paraId="14D3814B">
                      <w:pPr>
                        <w:adjustRightInd w:val="0"/>
                        <w:spacing w:line="260" w:lineRule="exact"/>
                        <w:ind w:firstLine="420" w:firstLineChars="200"/>
                        <w:rPr>
                          <w:rFonts w:hint="eastAsia" w:ascii="宋体" w:hAnsi="宋体"/>
                          <w:szCs w:val="21"/>
                        </w:rPr>
                      </w:pPr>
                      <w:r>
                        <w:rPr>
                          <w:rFonts w:hint="eastAsia" w:ascii="宋体" w:hAnsi="宋体"/>
                          <w:szCs w:val="21"/>
                        </w:rPr>
                        <w:t>《电磁环境控制限值》GB8702-2014</w:t>
                      </w:r>
                    </w:p>
                    <w:p w14:paraId="516323A2">
                      <w:pPr>
                        <w:adjustRightInd w:val="0"/>
                        <w:spacing w:line="260" w:lineRule="exact"/>
                        <w:ind w:firstLine="420" w:firstLineChars="200"/>
                        <w:rPr>
                          <w:rFonts w:hint="eastAsia" w:ascii="宋体" w:hAnsi="宋体"/>
                          <w:szCs w:val="21"/>
                        </w:rPr>
                      </w:pPr>
                      <w:r>
                        <w:rPr>
                          <w:rFonts w:hint="eastAsia" w:ascii="宋体" w:hAnsi="宋体"/>
                          <w:szCs w:val="21"/>
                        </w:rPr>
                        <w:t xml:space="preserve">                                                           </w:t>
                      </w:r>
                    </w:p>
                    <w:p w14:paraId="5B5D95EC">
                      <w:pPr>
                        <w:adjustRightInd w:val="0"/>
                        <w:spacing w:line="260" w:lineRule="exact"/>
                        <w:ind w:firstLine="7770" w:firstLineChars="3700"/>
                        <w:rPr>
                          <w:rFonts w:hint="eastAsia" w:ascii="宋体" w:hAnsi="宋体"/>
                          <w:szCs w:val="21"/>
                        </w:rPr>
                      </w:pPr>
                      <w:r>
                        <w:rPr>
                          <w:rFonts w:hint="eastAsia" w:ascii="宋体" w:hAnsi="宋体"/>
                          <w:szCs w:val="21"/>
                        </w:rPr>
                        <w:t>公  章</w:t>
                      </w:r>
                    </w:p>
                    <w:p w14:paraId="70B9F9C9">
                      <w:pPr>
                        <w:adjustRightInd w:val="0"/>
                        <w:spacing w:line="320" w:lineRule="exact"/>
                        <w:ind w:firstLine="420" w:firstLineChars="200"/>
                        <w:rPr>
                          <w:rFonts w:hint="eastAsia" w:ascii="宋体" w:hAnsi="宋体"/>
                          <w:szCs w:val="21"/>
                        </w:rPr>
                      </w:pPr>
                      <w:r>
                        <w:rPr>
                          <w:rFonts w:hint="eastAsia" w:ascii="宋体" w:hAnsi="宋体"/>
                          <w:szCs w:val="21"/>
                        </w:rPr>
                        <w:t xml:space="preserve">                                                                  2025年</w:t>
                      </w:r>
                      <w:r>
                        <w:rPr>
                          <w:rFonts w:hint="eastAsia" w:ascii="宋体" w:hAnsi="宋体"/>
                          <w:szCs w:val="21"/>
                          <w:lang w:val="en-US" w:eastAsia="zh-CN"/>
                        </w:rPr>
                        <w:t>6</w:t>
                      </w:r>
                      <w:r>
                        <w:rPr>
                          <w:rFonts w:hint="eastAsia" w:ascii="宋体" w:hAnsi="宋体"/>
                          <w:szCs w:val="21"/>
                        </w:rPr>
                        <w:t>月1</w:t>
                      </w:r>
                      <w:r>
                        <w:rPr>
                          <w:rFonts w:hint="eastAsia" w:ascii="宋体" w:hAnsi="宋体"/>
                          <w:szCs w:val="21"/>
                          <w:lang w:val="en-US" w:eastAsia="zh-CN"/>
                        </w:rPr>
                        <w:t>1</w:t>
                      </w:r>
                      <w:r>
                        <w:rPr>
                          <w:rFonts w:hint="eastAsia" w:ascii="宋体" w:hAnsi="宋体"/>
                          <w:szCs w:val="21"/>
                        </w:rPr>
                        <w:t>日</w:t>
                      </w:r>
                    </w:p>
                  </w:txbxContent>
                </v:textbox>
                <w10:wrap type="square"/>
              </v:shape>
            </w:pict>
          </mc:Fallback>
        </mc:AlternateConten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2E18"/>
    <w:rsid w:val="00023B58"/>
    <w:rsid w:val="000274B3"/>
    <w:rsid w:val="00027EC2"/>
    <w:rsid w:val="00030A2B"/>
    <w:rsid w:val="00032488"/>
    <w:rsid w:val="00032E75"/>
    <w:rsid w:val="00032EC6"/>
    <w:rsid w:val="00033035"/>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3DB0"/>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49F6"/>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64D1"/>
    <w:rsid w:val="003A6F68"/>
    <w:rsid w:val="003B05AD"/>
    <w:rsid w:val="003B2605"/>
    <w:rsid w:val="003B474D"/>
    <w:rsid w:val="003B637D"/>
    <w:rsid w:val="003B680F"/>
    <w:rsid w:val="003B7470"/>
    <w:rsid w:val="003C0D4A"/>
    <w:rsid w:val="003C53DA"/>
    <w:rsid w:val="003C60A5"/>
    <w:rsid w:val="003C6752"/>
    <w:rsid w:val="003C71B7"/>
    <w:rsid w:val="003D2270"/>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18C7"/>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5CF"/>
    <w:rsid w:val="00484C92"/>
    <w:rsid w:val="00491FC0"/>
    <w:rsid w:val="004934F9"/>
    <w:rsid w:val="00494C78"/>
    <w:rsid w:val="004960F7"/>
    <w:rsid w:val="00496B8D"/>
    <w:rsid w:val="004A0F05"/>
    <w:rsid w:val="004A5ED2"/>
    <w:rsid w:val="004B6421"/>
    <w:rsid w:val="004C2299"/>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1827"/>
    <w:rsid w:val="00504CB7"/>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342"/>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1F0B"/>
    <w:rsid w:val="0082313C"/>
    <w:rsid w:val="00823C47"/>
    <w:rsid w:val="00830EAC"/>
    <w:rsid w:val="00831515"/>
    <w:rsid w:val="00834930"/>
    <w:rsid w:val="00834C2D"/>
    <w:rsid w:val="00842959"/>
    <w:rsid w:val="0084298D"/>
    <w:rsid w:val="00843E46"/>
    <w:rsid w:val="008442C8"/>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92A"/>
    <w:rsid w:val="00975B83"/>
    <w:rsid w:val="00980F3F"/>
    <w:rsid w:val="00981882"/>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5250"/>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000"/>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56B7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0DDF"/>
    <w:rsid w:val="00C94552"/>
    <w:rsid w:val="00C9723C"/>
    <w:rsid w:val="00CA271B"/>
    <w:rsid w:val="00CA4D77"/>
    <w:rsid w:val="00CA7C94"/>
    <w:rsid w:val="00CB02D7"/>
    <w:rsid w:val="00CB157E"/>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CF6867"/>
    <w:rsid w:val="00D00C53"/>
    <w:rsid w:val="00D01B4A"/>
    <w:rsid w:val="00D05F5A"/>
    <w:rsid w:val="00D0633E"/>
    <w:rsid w:val="00D11144"/>
    <w:rsid w:val="00D117DE"/>
    <w:rsid w:val="00D12077"/>
    <w:rsid w:val="00D12E2E"/>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2207"/>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9F80EAA"/>
    <w:rsid w:val="0A391D7A"/>
    <w:rsid w:val="0A8B1A52"/>
    <w:rsid w:val="0AF57F7B"/>
    <w:rsid w:val="0AFE2A19"/>
    <w:rsid w:val="0B4D2381"/>
    <w:rsid w:val="0B7F8407"/>
    <w:rsid w:val="0BFB035C"/>
    <w:rsid w:val="0C0F6935"/>
    <w:rsid w:val="0CD43002"/>
    <w:rsid w:val="0DA03DC9"/>
    <w:rsid w:val="0DF47531"/>
    <w:rsid w:val="0E080815"/>
    <w:rsid w:val="0E39189E"/>
    <w:rsid w:val="0E547D62"/>
    <w:rsid w:val="0E86594B"/>
    <w:rsid w:val="0EEC570D"/>
    <w:rsid w:val="0F360A23"/>
    <w:rsid w:val="0F614BEF"/>
    <w:rsid w:val="0F847F49"/>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4175616"/>
    <w:rsid w:val="14470DA6"/>
    <w:rsid w:val="14484A85"/>
    <w:rsid w:val="144D651F"/>
    <w:rsid w:val="14B804A2"/>
    <w:rsid w:val="14D17070"/>
    <w:rsid w:val="14D31413"/>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A262AE7"/>
    <w:rsid w:val="1A34282A"/>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85D06"/>
    <w:rsid w:val="1F014610"/>
    <w:rsid w:val="1F1C0468"/>
    <w:rsid w:val="1F2156D7"/>
    <w:rsid w:val="1F767D22"/>
    <w:rsid w:val="1FD92C2B"/>
    <w:rsid w:val="1FFFE3B7"/>
    <w:rsid w:val="20164816"/>
    <w:rsid w:val="20207CC4"/>
    <w:rsid w:val="20253F4A"/>
    <w:rsid w:val="20701BFC"/>
    <w:rsid w:val="20D91DF9"/>
    <w:rsid w:val="20E37C83"/>
    <w:rsid w:val="218E0E0A"/>
    <w:rsid w:val="21911DD9"/>
    <w:rsid w:val="21E11EF8"/>
    <w:rsid w:val="22AD2987"/>
    <w:rsid w:val="22FB4A10"/>
    <w:rsid w:val="23070653"/>
    <w:rsid w:val="234402E7"/>
    <w:rsid w:val="2361098D"/>
    <w:rsid w:val="23656001"/>
    <w:rsid w:val="237A750D"/>
    <w:rsid w:val="23916CFB"/>
    <w:rsid w:val="239270BB"/>
    <w:rsid w:val="239273D2"/>
    <w:rsid w:val="23E4416F"/>
    <w:rsid w:val="23FD171B"/>
    <w:rsid w:val="24070DCC"/>
    <w:rsid w:val="24076ADE"/>
    <w:rsid w:val="24B14405"/>
    <w:rsid w:val="24C06685"/>
    <w:rsid w:val="25476CDB"/>
    <w:rsid w:val="25697F5A"/>
    <w:rsid w:val="25D0268F"/>
    <w:rsid w:val="25F431A6"/>
    <w:rsid w:val="25FE1963"/>
    <w:rsid w:val="26242C3E"/>
    <w:rsid w:val="27355AFD"/>
    <w:rsid w:val="27A624AE"/>
    <w:rsid w:val="27A74B14"/>
    <w:rsid w:val="27BB79FB"/>
    <w:rsid w:val="287A44BF"/>
    <w:rsid w:val="28A73B12"/>
    <w:rsid w:val="29331C73"/>
    <w:rsid w:val="29791B43"/>
    <w:rsid w:val="299D38E0"/>
    <w:rsid w:val="29D14858"/>
    <w:rsid w:val="29E17C2F"/>
    <w:rsid w:val="29FE5CFD"/>
    <w:rsid w:val="2B416A6B"/>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656840"/>
    <w:rsid w:val="359853B3"/>
    <w:rsid w:val="35D9631B"/>
    <w:rsid w:val="36421B10"/>
    <w:rsid w:val="366E249E"/>
    <w:rsid w:val="36A252D3"/>
    <w:rsid w:val="36E23896"/>
    <w:rsid w:val="37046114"/>
    <w:rsid w:val="3753357C"/>
    <w:rsid w:val="378E494A"/>
    <w:rsid w:val="37D354B8"/>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B672C"/>
    <w:rsid w:val="3E3B6651"/>
    <w:rsid w:val="3E726768"/>
    <w:rsid w:val="3EE038E1"/>
    <w:rsid w:val="3EE64B11"/>
    <w:rsid w:val="3EFB6624"/>
    <w:rsid w:val="3F000841"/>
    <w:rsid w:val="3FA7455C"/>
    <w:rsid w:val="3FB94530"/>
    <w:rsid w:val="3FD16442"/>
    <w:rsid w:val="408D1C4A"/>
    <w:rsid w:val="40AC730C"/>
    <w:rsid w:val="40BD7E43"/>
    <w:rsid w:val="40EC0516"/>
    <w:rsid w:val="415A654A"/>
    <w:rsid w:val="41D71F3E"/>
    <w:rsid w:val="41E954EC"/>
    <w:rsid w:val="421A55E6"/>
    <w:rsid w:val="429D59C0"/>
    <w:rsid w:val="42CD3B40"/>
    <w:rsid w:val="43016FB6"/>
    <w:rsid w:val="4323600A"/>
    <w:rsid w:val="43862855"/>
    <w:rsid w:val="44847202"/>
    <w:rsid w:val="44D318BA"/>
    <w:rsid w:val="44EA2AAE"/>
    <w:rsid w:val="453612F3"/>
    <w:rsid w:val="45625AB5"/>
    <w:rsid w:val="457E0827"/>
    <w:rsid w:val="45A14C57"/>
    <w:rsid w:val="45DF348B"/>
    <w:rsid w:val="45E605AC"/>
    <w:rsid w:val="45FC256A"/>
    <w:rsid w:val="46785DFA"/>
    <w:rsid w:val="47513FE0"/>
    <w:rsid w:val="475C3932"/>
    <w:rsid w:val="476A1CC8"/>
    <w:rsid w:val="47771D36"/>
    <w:rsid w:val="479F70FC"/>
    <w:rsid w:val="47DB78B4"/>
    <w:rsid w:val="48E56341"/>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8766A4"/>
    <w:rsid w:val="4FEC13DB"/>
    <w:rsid w:val="50134C52"/>
    <w:rsid w:val="5037555C"/>
    <w:rsid w:val="50713259"/>
    <w:rsid w:val="511D7DE6"/>
    <w:rsid w:val="51AA36B9"/>
    <w:rsid w:val="51D218C8"/>
    <w:rsid w:val="5200413C"/>
    <w:rsid w:val="52397564"/>
    <w:rsid w:val="528C66D3"/>
    <w:rsid w:val="52AB5ED3"/>
    <w:rsid w:val="53765946"/>
    <w:rsid w:val="53852C55"/>
    <w:rsid w:val="538F73C4"/>
    <w:rsid w:val="53F634E3"/>
    <w:rsid w:val="549819CA"/>
    <w:rsid w:val="54E5799D"/>
    <w:rsid w:val="551B4347"/>
    <w:rsid w:val="55286D0E"/>
    <w:rsid w:val="55B96F01"/>
    <w:rsid w:val="55D732E4"/>
    <w:rsid w:val="5606789C"/>
    <w:rsid w:val="56067F5B"/>
    <w:rsid w:val="56332D50"/>
    <w:rsid w:val="568C6234"/>
    <w:rsid w:val="56BA5388"/>
    <w:rsid w:val="577A6BC1"/>
    <w:rsid w:val="579E7D32"/>
    <w:rsid w:val="582F0000"/>
    <w:rsid w:val="58406E56"/>
    <w:rsid w:val="5849649E"/>
    <w:rsid w:val="58C0278D"/>
    <w:rsid w:val="58E00F2D"/>
    <w:rsid w:val="59235B9E"/>
    <w:rsid w:val="595930A3"/>
    <w:rsid w:val="59920C63"/>
    <w:rsid w:val="59A8568C"/>
    <w:rsid w:val="59DA5A3F"/>
    <w:rsid w:val="59E00B01"/>
    <w:rsid w:val="5BBE4DBB"/>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71B8"/>
    <w:rsid w:val="5F1B6F5E"/>
    <w:rsid w:val="5F4A13CC"/>
    <w:rsid w:val="602657A0"/>
    <w:rsid w:val="61A2655E"/>
    <w:rsid w:val="625B2F2E"/>
    <w:rsid w:val="629E302F"/>
    <w:rsid w:val="62B1676E"/>
    <w:rsid w:val="62D0478A"/>
    <w:rsid w:val="636A28CE"/>
    <w:rsid w:val="63B87174"/>
    <w:rsid w:val="63F76263"/>
    <w:rsid w:val="64180994"/>
    <w:rsid w:val="64557F9D"/>
    <w:rsid w:val="645E7B5B"/>
    <w:rsid w:val="646B395E"/>
    <w:rsid w:val="646E3931"/>
    <w:rsid w:val="65344F61"/>
    <w:rsid w:val="65DB170B"/>
    <w:rsid w:val="6639600D"/>
    <w:rsid w:val="66831A8F"/>
    <w:rsid w:val="66D23DD9"/>
    <w:rsid w:val="66EA10BD"/>
    <w:rsid w:val="674028F1"/>
    <w:rsid w:val="67AE54AC"/>
    <w:rsid w:val="67AF09A7"/>
    <w:rsid w:val="67F221F2"/>
    <w:rsid w:val="682E1762"/>
    <w:rsid w:val="688C5961"/>
    <w:rsid w:val="689F7803"/>
    <w:rsid w:val="68EC4CE9"/>
    <w:rsid w:val="692C69C6"/>
    <w:rsid w:val="6A21622D"/>
    <w:rsid w:val="6A3105A1"/>
    <w:rsid w:val="6A7A16BA"/>
    <w:rsid w:val="6AB1047A"/>
    <w:rsid w:val="6AD9448F"/>
    <w:rsid w:val="6BAF129E"/>
    <w:rsid w:val="6C784475"/>
    <w:rsid w:val="6CC0544C"/>
    <w:rsid w:val="6CFA384A"/>
    <w:rsid w:val="6DC16093"/>
    <w:rsid w:val="6DCD73EF"/>
    <w:rsid w:val="6E0C2F03"/>
    <w:rsid w:val="6E874F37"/>
    <w:rsid w:val="6ECC0386"/>
    <w:rsid w:val="6EF01078"/>
    <w:rsid w:val="6F787435"/>
    <w:rsid w:val="701758AE"/>
    <w:rsid w:val="703E4F0D"/>
    <w:rsid w:val="704774CE"/>
    <w:rsid w:val="705F2EC1"/>
    <w:rsid w:val="714D0F1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3F2621"/>
    <w:rsid w:val="74643CD5"/>
    <w:rsid w:val="74A73C3E"/>
    <w:rsid w:val="74B331EE"/>
    <w:rsid w:val="74B36BFE"/>
    <w:rsid w:val="75225704"/>
    <w:rsid w:val="75554CD0"/>
    <w:rsid w:val="7564425E"/>
    <w:rsid w:val="756623D6"/>
    <w:rsid w:val="75711C71"/>
    <w:rsid w:val="76023A08"/>
    <w:rsid w:val="775040E1"/>
    <w:rsid w:val="77A755E7"/>
    <w:rsid w:val="77FC7559"/>
    <w:rsid w:val="78273629"/>
    <w:rsid w:val="78851BDB"/>
    <w:rsid w:val="78AC21E8"/>
    <w:rsid w:val="78D24EA6"/>
    <w:rsid w:val="790B5C5E"/>
    <w:rsid w:val="79236A91"/>
    <w:rsid w:val="79250831"/>
    <w:rsid w:val="79934CBC"/>
    <w:rsid w:val="7A551D24"/>
    <w:rsid w:val="7A9E4E4F"/>
    <w:rsid w:val="7AB23849"/>
    <w:rsid w:val="7B215A83"/>
    <w:rsid w:val="7B3839F9"/>
    <w:rsid w:val="7BAF5EF2"/>
    <w:rsid w:val="7BEA1854"/>
    <w:rsid w:val="7C416F94"/>
    <w:rsid w:val="7C4B06D1"/>
    <w:rsid w:val="7C4E4CA7"/>
    <w:rsid w:val="7D58518D"/>
    <w:rsid w:val="7D78548F"/>
    <w:rsid w:val="7DE242D1"/>
    <w:rsid w:val="7DFFCB1A"/>
    <w:rsid w:val="7F1F4CD9"/>
    <w:rsid w:val="7F677769"/>
    <w:rsid w:val="7F775D4A"/>
    <w:rsid w:val="7F7F6AE1"/>
    <w:rsid w:val="7FAE3A10"/>
    <w:rsid w:val="7FDFF745"/>
    <w:rsid w:val="B57FC868"/>
    <w:rsid w:val="B7D3956D"/>
    <w:rsid w:val="BDFF631D"/>
    <w:rsid w:val="CFC68FC3"/>
    <w:rsid w:val="D1E61B19"/>
    <w:rsid w:val="D1FF0F03"/>
    <w:rsid w:val="D9DDEC92"/>
    <w:rsid w:val="ED3FD8BB"/>
    <w:rsid w:val="EFDF34CF"/>
    <w:rsid w:val="FE1B385E"/>
    <w:rsid w:val="FEFF182E"/>
    <w:rsid w:val="FFDFA0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脚 Char"/>
    <w:basedOn w:val="5"/>
    <w:link w:val="2"/>
    <w:uiPriority w:val="0"/>
    <w:rPr>
      <w:kern w:val="2"/>
      <w:sz w:val="18"/>
      <w:szCs w:val="18"/>
    </w:rPr>
  </w:style>
  <w:style w:type="character" w:customStyle="1" w:styleId="8">
    <w:name w:val="页眉 Char"/>
    <w:basedOn w:val="5"/>
    <w:link w:val="3"/>
    <w:uiPriority w:val="0"/>
    <w:rPr>
      <w:kern w:val="2"/>
      <w:sz w:val="18"/>
      <w:szCs w:val="18"/>
    </w:rPr>
  </w:style>
  <w:style w:type="paragraph" w:customStyle="1" w:styleId="9">
    <w:name w:val=" Char Char Char"/>
    <w:basedOn w:val="1"/>
    <w:uiPriority w:val="0"/>
    <w:pPr>
      <w:spacing w:line="360" w:lineRule="auto"/>
      <w:ind w:firstLine="200" w:firstLineChars="200"/>
    </w:pPr>
    <w:rPr>
      <w:rFonts w:ascii="宋体" w:hAnsi="宋体" w:cs="宋体"/>
      <w:sz w:val="24"/>
    </w:rPr>
  </w:style>
  <w:style w:type="paragraph" w:customStyle="1" w:styleId="10">
    <w:name w:val="Char Char Char"/>
    <w:basedOn w:val="1"/>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Words>
  <Characters>1</Characters>
  <Lines>1</Lines>
  <Paragraphs>1</Paragraphs>
  <TotalTime>8.33333333333333</TotalTime>
  <ScaleCrop>false</ScaleCrop>
  <LinksUpToDate>false</LinksUpToDate>
  <CharactersWithSpaces>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2017-10-18T20:19:00Z</dcterms:created>
  <dc:creator>环保</dc:creator>
  <cp:lastModifiedBy>王居慧</cp:lastModifiedBy>
  <cp:lastPrinted>2024-12-23T10:08:00Z</cp:lastPrinted>
  <dcterms:modified xsi:type="dcterms:W3CDTF">2025-06-05T07:56:46Z</dcterms:modified>
  <dc:title>审批意见：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BA5B55AC2D4243938DF38130D2B17009_13</vt:lpwstr>
  </property>
  <property fmtid="{D5CDD505-2E9C-101B-9397-08002B2CF9AE}" pid="4" name="KSOTemplateDocerSaveRecord">
    <vt:lpwstr>eyJoZGlkIjoiYjYwYjBhN2JkMjIwMDllMzQ3OTY1YTIyNzFlZjI2MzciLCJ1c2VySWQiOiI2Njc2NzMwNDUifQ==</vt:lpwstr>
  </property>
</Properties>
</file>