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武清区文旅局关于编制武清文化旅游发展规划的工作方案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中共武清区委六届五次全会确定的“3+1+1”工作思路</w:t>
      </w:r>
      <w:r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助力全区高质量发展，加快推进文旅强区建设，按照建设大运河文化发展生态带工作安排，对全区文旅资源进行全面规划。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  <w:t>一、工作背景和思路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武清区文化旅游融合发展处于战略机遇期和重要窗口期，文化和旅游产业具有良好的发展基础，公共文化服务丰富，文化和旅游市场繁荣，文旅产业发展势头强劲，作为京津卫星城具极强的地缘优势，伴随着京津冀协同发展程度加深，“通武廊”合作日渐频繁，大运河文化带建设发展提速，乡村振兴向深层次推进，将迎来前所未有的宝贵机遇，同时也面临着文旅产业顶层规划过时缺位，文旅产业生态系统不健全，内生动力挖潜不足，创新驱动作用不明显，外部市场开放合作程度不高，促进产业发展政策不全面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武清区旅游概念规划将按照区委“3+1+1”工作思路，助推“一城一带一商圈”规划建设，以京津产业新城、大运河文化生态发展带、高端消费和车文化体验为主题的“新商圈”三大行动支撑“京津明珠”，推动农商文旅深度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  <w:t>二、工作目的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立足于以文旅消费引领的内循环、京津冀协同发展和乡村振兴战略等大背景与大运河建设之契机，以统筹武清区文化旅游融合发展为首要任务，以大运河文化旅游策划为先导，深入挖掘并弘扬武清地方特色文化，保护并合理利用大运河武清段等自然禀赋，统筹考虑都市消费、网红消费、休闲农业等优势产业未来发展诉求，链接武清周边既有旅游资源，完善相关文旅配套设施，以构建“通武廊运河文化共享区”为目标，积极融入全市“北运河—河北廊坊—北京通州”京津冀区域旅游线路，建成承载大运河文化旅游品牌的重要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6"/>
          <w:szCs w:val="36"/>
          <w:lang w:val="en-US" w:eastAsia="zh-CN"/>
        </w:rPr>
        <w:t>三、工作任务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通过对现状重要旅游特色资源进行分析，挖掘提炼地域特色，在借鉴国内外先进经验的基础上，形成概念规划成果，成果需包含但不限于以下内容：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在对规划范围充分调研的基础上，总结评估区域当前旅游资源整体状况，对规划范围内旅游业现状进行分析。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以现状分析为基础，提炼国内外先进经验，合理提出概念规划总体策略与目标定位。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分析客源市场定位与营销。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充分利用区域优势，优化旅游产业空间布局。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旅游产业要素规划。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旅游公共服务规划。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文旅融合精品路线规划。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梳理旅游产业布局内的重要节点，提出重要节点的意向方案。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" w:leftChars="0" w:firstLine="835" w:firstLineChars="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根据规划方案，提出规划实施保障措施。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           武清区文化和旅游局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 xml:space="preserve">                    2023年8月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22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883F3"/>
    <w:multiLevelType w:val="singleLevel"/>
    <w:tmpl w:val="F8A883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jEwYjhmZjU5MTVkZTkxYWIwNDBkNTg1OWVlMjYifQ=="/>
  </w:docVars>
  <w:rsids>
    <w:rsidRoot w:val="3D046E88"/>
    <w:rsid w:val="0B086918"/>
    <w:rsid w:val="0F2471F4"/>
    <w:rsid w:val="1F1F1FD1"/>
    <w:rsid w:val="3D046E88"/>
    <w:rsid w:val="4DEA05CB"/>
    <w:rsid w:val="5CD0778A"/>
    <w:rsid w:val="5E7A134B"/>
    <w:rsid w:val="77D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972</Characters>
  <Lines>0</Lines>
  <Paragraphs>0</Paragraphs>
  <TotalTime>21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2023-07-12T00:58:00Z</dcterms:created>
  <dc:creator>孙小肉</dc:creator>
  <cp:lastModifiedBy>孙小肉</cp:lastModifiedBy>
  <dcterms:modified xsi:type="dcterms:W3CDTF">2023-08-17T08:02:45Z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8BC5869C9E5E49BE8EF00C56391C0A2B_13</vt:lpwstr>
  </property>
</Properties>
</file>