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A2B26">
      <w:pPr>
        <w:jc w:val="center"/>
        <w:rPr>
          <w:rFonts w:eastAsia="方正小标宋简体"/>
          <w:sz w:val="36"/>
          <w:szCs w:val="36"/>
        </w:rPr>
      </w:pPr>
      <w:r>
        <w:rPr>
          <w:rFonts w:eastAsia="方正小标宋简体"/>
          <w:sz w:val="36"/>
          <w:szCs w:val="36"/>
          <w:lang w:val="en"/>
        </w:rPr>
        <w:t>天津市</w:t>
      </w:r>
      <w:r>
        <w:rPr>
          <w:rFonts w:eastAsia="方正小标宋简体"/>
          <w:sz w:val="36"/>
          <w:szCs w:val="36"/>
        </w:rPr>
        <w:t>统计不予处罚事项清单</w:t>
      </w:r>
    </w:p>
    <w:tbl>
      <w:tblPr>
        <w:tblStyle w:val="2"/>
        <w:tblW w:w="10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876"/>
        <w:gridCol w:w="4227"/>
        <w:gridCol w:w="2138"/>
        <w:gridCol w:w="1950"/>
        <w:gridCol w:w="620"/>
      </w:tblGrid>
      <w:tr w14:paraId="6AA6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14:paraId="4277119D">
            <w:pPr>
              <w:spacing w:line="220" w:lineRule="exact"/>
              <w:jc w:val="center"/>
              <w:rPr>
                <w:rFonts w:eastAsia="黑体"/>
                <w:szCs w:val="21"/>
              </w:rPr>
            </w:pPr>
            <w:r>
              <w:rPr>
                <w:rFonts w:eastAsia="黑体"/>
                <w:szCs w:val="21"/>
                <w:lang w:bidi="ar"/>
              </w:rPr>
              <w:t>序号</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442A243B">
            <w:pPr>
              <w:spacing w:line="220" w:lineRule="exact"/>
              <w:jc w:val="center"/>
              <w:rPr>
                <w:rFonts w:eastAsia="黑体"/>
                <w:szCs w:val="21"/>
                <w:lang w:bidi="ar"/>
              </w:rPr>
            </w:pPr>
            <w:r>
              <w:rPr>
                <w:rFonts w:eastAsia="黑体"/>
                <w:szCs w:val="21"/>
                <w:lang w:bidi="ar"/>
              </w:rPr>
              <w:t>行政处</w:t>
            </w:r>
          </w:p>
          <w:p w14:paraId="4ABB5E2B">
            <w:pPr>
              <w:spacing w:line="220" w:lineRule="exact"/>
              <w:jc w:val="center"/>
              <w:rPr>
                <w:rFonts w:eastAsia="黑体"/>
                <w:szCs w:val="21"/>
              </w:rPr>
            </w:pPr>
            <w:r>
              <w:rPr>
                <w:rFonts w:eastAsia="黑体"/>
                <w:szCs w:val="21"/>
                <w:lang w:bidi="ar"/>
              </w:rPr>
              <w:t>罚事项</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4B88DD94">
            <w:pPr>
              <w:spacing w:line="220" w:lineRule="exact"/>
              <w:jc w:val="center"/>
              <w:rPr>
                <w:rFonts w:eastAsia="黑体"/>
                <w:szCs w:val="21"/>
              </w:rPr>
            </w:pPr>
            <w:r>
              <w:rPr>
                <w:rFonts w:eastAsia="黑体"/>
                <w:szCs w:val="21"/>
                <w:lang w:bidi="ar"/>
              </w:rPr>
              <w:t>设定法律依据</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8FF001B">
            <w:pPr>
              <w:spacing w:line="220" w:lineRule="exact"/>
              <w:jc w:val="center"/>
              <w:rPr>
                <w:rFonts w:eastAsia="黑体"/>
                <w:szCs w:val="21"/>
              </w:rPr>
            </w:pPr>
            <w:r>
              <w:rPr>
                <w:rFonts w:eastAsia="黑体"/>
                <w:szCs w:val="21"/>
                <w:lang w:bidi="ar"/>
              </w:rPr>
              <w:t>适用情形</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D9C3B67">
            <w:pPr>
              <w:spacing w:line="220" w:lineRule="exact"/>
              <w:jc w:val="center"/>
              <w:rPr>
                <w:rFonts w:eastAsia="黑体"/>
                <w:szCs w:val="21"/>
                <w:lang w:bidi="ar"/>
              </w:rPr>
            </w:pPr>
            <w:r>
              <w:rPr>
                <w:rFonts w:eastAsia="黑体"/>
                <w:szCs w:val="21"/>
                <w:lang w:bidi="ar"/>
              </w:rPr>
              <w:t>不予处罚</w:t>
            </w:r>
          </w:p>
          <w:p w14:paraId="3E2C4CA9">
            <w:pPr>
              <w:spacing w:line="220" w:lineRule="exact"/>
              <w:jc w:val="center"/>
              <w:rPr>
                <w:rFonts w:eastAsia="黑体"/>
                <w:szCs w:val="21"/>
              </w:rPr>
            </w:pPr>
            <w:r>
              <w:rPr>
                <w:rFonts w:eastAsia="黑体"/>
                <w:szCs w:val="21"/>
                <w:lang w:bidi="ar"/>
              </w:rPr>
              <w:t>法律依据</w:t>
            </w:r>
          </w:p>
        </w:tc>
        <w:tc>
          <w:tcPr>
            <w:tcW w:w="620" w:type="dxa"/>
            <w:tcBorders>
              <w:top w:val="single" w:color="auto" w:sz="4" w:space="0"/>
              <w:left w:val="single" w:color="auto" w:sz="4" w:space="0"/>
              <w:bottom w:val="single" w:color="auto" w:sz="4" w:space="0"/>
              <w:right w:val="single" w:color="auto" w:sz="4" w:space="0"/>
            </w:tcBorders>
            <w:noWrap w:val="0"/>
            <w:vAlign w:val="center"/>
          </w:tcPr>
          <w:p w14:paraId="56298EDA">
            <w:pPr>
              <w:spacing w:line="220" w:lineRule="exact"/>
              <w:jc w:val="center"/>
              <w:rPr>
                <w:rFonts w:eastAsia="黑体"/>
                <w:szCs w:val="21"/>
              </w:rPr>
            </w:pPr>
            <w:r>
              <w:rPr>
                <w:rFonts w:eastAsia="黑体"/>
                <w:szCs w:val="21"/>
                <w:lang w:bidi="ar"/>
              </w:rPr>
              <w:t>备注</w:t>
            </w:r>
          </w:p>
        </w:tc>
      </w:tr>
      <w:tr w14:paraId="6D7D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0" w:hRule="atLeast"/>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14:paraId="0A037CE0">
            <w:pPr>
              <w:spacing w:line="280" w:lineRule="exact"/>
              <w:jc w:val="center"/>
              <w:rPr>
                <w:rFonts w:eastAsia="仿宋_GB2312"/>
                <w:szCs w:val="21"/>
                <w:lang w:bidi="ar"/>
              </w:rPr>
            </w:pPr>
            <w:r>
              <w:rPr>
                <w:rFonts w:eastAsia="仿宋_GB2312"/>
                <w:szCs w:val="21"/>
                <w:lang w:bidi="ar"/>
              </w:rPr>
              <w:t>1</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6C52E697">
            <w:pPr>
              <w:spacing w:line="280" w:lineRule="exact"/>
              <w:rPr>
                <w:rFonts w:eastAsia="仿宋_GB2312"/>
                <w:szCs w:val="21"/>
                <w:lang w:bidi="ar"/>
              </w:rPr>
            </w:pPr>
            <w:r>
              <w:rPr>
                <w:rFonts w:eastAsia="仿宋_GB2312"/>
                <w:szCs w:val="21"/>
                <w:lang w:bidi="ar"/>
              </w:rPr>
              <w:t>统计调查对象提供不真实或者不完整的统计资料</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65B5138D">
            <w:pPr>
              <w:spacing w:line="280" w:lineRule="exact"/>
              <w:ind w:firstLine="420" w:firstLineChars="200"/>
              <w:rPr>
                <w:rFonts w:eastAsia="仿宋_GB2312"/>
                <w:szCs w:val="21"/>
                <w:lang w:bidi="ar"/>
              </w:rPr>
            </w:pPr>
            <w:r>
              <w:rPr>
                <w:rFonts w:eastAsia="仿宋_GB2312"/>
                <w:szCs w:val="21"/>
                <w:lang w:bidi="ar"/>
              </w:rPr>
              <w:t xml:space="preserve">《中华人民共和国统计法》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 </w:t>
            </w:r>
          </w:p>
          <w:p w14:paraId="51D8F38A">
            <w:pPr>
              <w:spacing w:line="280" w:lineRule="exact"/>
              <w:ind w:firstLine="420" w:firstLineChars="200"/>
              <w:rPr>
                <w:rFonts w:eastAsia="仿宋_GB2312"/>
                <w:szCs w:val="21"/>
                <w:lang w:bidi="ar"/>
              </w:rPr>
            </w:pPr>
            <w:r>
              <w:rPr>
                <w:rFonts w:eastAsia="仿宋_GB2312"/>
                <w:szCs w:val="21"/>
                <w:lang w:bidi="ar"/>
              </w:rPr>
              <w:t>（一）拒绝提供统计资料或者经催报后仍未按时提供统计资料的；</w:t>
            </w:r>
          </w:p>
          <w:p w14:paraId="65D095C1">
            <w:pPr>
              <w:spacing w:line="280" w:lineRule="exact"/>
              <w:ind w:firstLine="420" w:firstLineChars="200"/>
              <w:rPr>
                <w:rFonts w:eastAsia="仿宋_GB2312"/>
                <w:szCs w:val="21"/>
                <w:lang w:bidi="ar"/>
              </w:rPr>
            </w:pPr>
            <w:r>
              <w:rPr>
                <w:rFonts w:eastAsia="仿宋_GB2312"/>
                <w:szCs w:val="21"/>
                <w:lang w:bidi="ar"/>
              </w:rPr>
              <w:t>（二）提供不真实或者不完整的统计资料的；</w:t>
            </w:r>
          </w:p>
          <w:p w14:paraId="7A092721">
            <w:pPr>
              <w:spacing w:line="280" w:lineRule="exact"/>
              <w:ind w:firstLine="420" w:firstLineChars="200"/>
              <w:rPr>
                <w:rFonts w:eastAsia="仿宋_GB2312"/>
                <w:szCs w:val="21"/>
                <w:lang w:bidi="ar"/>
              </w:rPr>
            </w:pPr>
            <w:r>
              <w:rPr>
                <w:rFonts w:eastAsia="仿宋_GB2312"/>
                <w:szCs w:val="21"/>
                <w:lang w:bidi="ar"/>
              </w:rPr>
              <w:t>（三）拒绝答复或者不如实答复统计检查查询书的；</w:t>
            </w:r>
          </w:p>
          <w:p w14:paraId="1437DEEB">
            <w:pPr>
              <w:spacing w:line="280" w:lineRule="exact"/>
              <w:ind w:firstLine="420" w:firstLineChars="200"/>
              <w:rPr>
                <w:rFonts w:eastAsia="仿宋_GB2312"/>
                <w:szCs w:val="21"/>
                <w:lang w:bidi="ar"/>
              </w:rPr>
            </w:pPr>
            <w:r>
              <w:rPr>
                <w:rFonts w:eastAsia="仿宋_GB2312"/>
                <w:szCs w:val="21"/>
                <w:lang w:bidi="ar"/>
              </w:rPr>
              <w:t>（四）拒绝、阻碍统计调查、统计检查的；</w:t>
            </w:r>
          </w:p>
          <w:p w14:paraId="696DB349">
            <w:pPr>
              <w:spacing w:line="280" w:lineRule="exact"/>
              <w:ind w:firstLine="420" w:firstLineChars="200"/>
              <w:rPr>
                <w:rFonts w:eastAsia="仿宋_GB2312"/>
                <w:szCs w:val="21"/>
                <w:lang w:bidi="ar"/>
              </w:rPr>
            </w:pPr>
            <w:r>
              <w:rPr>
                <w:rFonts w:eastAsia="仿宋_GB2312"/>
                <w:szCs w:val="21"/>
                <w:lang w:bidi="ar"/>
              </w:rPr>
              <w:t xml:space="preserve">（五）转移、隐匿、篡改、毁弃或者拒绝提供原始记录和凭证、统计台账、统计调查表及其他相关证明和资料的。 </w:t>
            </w:r>
          </w:p>
          <w:p w14:paraId="504035E6">
            <w:pPr>
              <w:spacing w:line="280" w:lineRule="exact"/>
              <w:ind w:firstLine="420" w:firstLineChars="200"/>
              <w:rPr>
                <w:rFonts w:eastAsia="仿宋_GB2312"/>
                <w:szCs w:val="21"/>
                <w:lang w:bidi="ar"/>
              </w:rPr>
            </w:pPr>
            <w:r>
              <w:rPr>
                <w:rFonts w:eastAsia="仿宋_GB2312"/>
                <w:szCs w:val="21"/>
                <w:lang w:bidi="ar"/>
              </w:rPr>
              <w:t xml:space="preserve">企业事业单位或者其他组织有前款所列行为之一的，可以并处五万元以下的罚款；情节严重的，并处五万元以上二十万元以下的罚款。 </w:t>
            </w:r>
          </w:p>
          <w:p w14:paraId="48D8296E">
            <w:pPr>
              <w:spacing w:line="280" w:lineRule="exact"/>
              <w:ind w:firstLine="420" w:firstLineChars="200"/>
              <w:rPr>
                <w:rFonts w:eastAsia="仿宋_GB2312"/>
                <w:szCs w:val="21"/>
                <w:lang w:bidi="ar"/>
              </w:rPr>
            </w:pPr>
            <w:r>
              <w:rPr>
                <w:rFonts w:eastAsia="仿宋_GB2312"/>
                <w:szCs w:val="21"/>
                <w:lang w:bidi="ar"/>
              </w:rPr>
              <w:t>个体工商户有本条第一款所列行为之一的，由县级以上人民政府统计机构责令改正，责令改正，给予警告，可以并处一万元以下的罚款。</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071EBEAD">
            <w:pPr>
              <w:spacing w:line="280" w:lineRule="exact"/>
              <w:rPr>
                <w:rFonts w:eastAsia="仿宋_GB2312"/>
                <w:szCs w:val="21"/>
                <w:lang w:bidi="ar"/>
              </w:rPr>
            </w:pPr>
            <w:r>
              <w:rPr>
                <w:rFonts w:eastAsia="仿宋_GB2312"/>
                <w:szCs w:val="21"/>
                <w:lang w:bidi="ar"/>
              </w:rPr>
              <w:t>1.统计调查对象提供不真实或者不完整的统计资料，价值量指标违法数额比例及数额在一定范围内（见附表），没有造成危害后果并及时改正的，不予行政处罚；</w:t>
            </w:r>
          </w:p>
          <w:p w14:paraId="334E6EF2">
            <w:pPr>
              <w:spacing w:line="280" w:lineRule="exact"/>
              <w:rPr>
                <w:rFonts w:eastAsia="仿宋_GB2312"/>
                <w:szCs w:val="21"/>
                <w:lang w:bidi="ar"/>
              </w:rPr>
            </w:pPr>
            <w:r>
              <w:rPr>
                <w:rFonts w:eastAsia="仿宋_GB2312"/>
                <w:szCs w:val="21"/>
                <w:lang w:bidi="ar"/>
              </w:rPr>
              <w:t>2.统计调查对象提供不真实或者不完整的统计资料，初次违法，价值量指标违法数额比例及数额在一定范围内（见附表），危害后果轻微并及时改正的，可以不予行政处罚；</w:t>
            </w:r>
          </w:p>
          <w:p w14:paraId="4BEF53AD">
            <w:pPr>
              <w:spacing w:line="280" w:lineRule="exact"/>
              <w:rPr>
                <w:rFonts w:eastAsia="仿宋_GB2312"/>
                <w:szCs w:val="21"/>
                <w:lang w:bidi="ar"/>
              </w:rPr>
            </w:pPr>
            <w:r>
              <w:rPr>
                <w:rFonts w:eastAsia="仿宋_GB2312"/>
                <w:szCs w:val="21"/>
                <w:lang w:bidi="ar"/>
              </w:rPr>
              <w:t>3.统计调查对象能提供相关证据证实其提供不真实或者不完整的统计资料的行为没有主观过错的，不予行政处罚。</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43CC587">
            <w:pPr>
              <w:widowControl/>
              <w:spacing w:line="280" w:lineRule="exact"/>
              <w:rPr>
                <w:rFonts w:eastAsia="仿宋_GB2312"/>
                <w:szCs w:val="21"/>
                <w:lang w:bidi="ar"/>
              </w:rPr>
            </w:pPr>
            <w:r>
              <w:rPr>
                <w:rFonts w:eastAsia="仿宋_GB2312"/>
                <w:szCs w:val="21"/>
                <w:lang w:bidi="ar"/>
              </w:rPr>
              <w:t>《中华人民共和国行政处罚法》第三十三条第一款和第二款：违法行为轻微并及时改正，没有造成危害后果的，不予行政处罚。初次违法且危害后果轻微并及时改正的，可以不予行政处罚。</w:t>
            </w:r>
          </w:p>
          <w:p w14:paraId="498185BE">
            <w:pPr>
              <w:widowControl/>
              <w:spacing w:line="280" w:lineRule="exact"/>
              <w:ind w:firstLine="210" w:firstLineChars="100"/>
              <w:rPr>
                <w:rFonts w:eastAsia="仿宋_GB2312"/>
                <w:szCs w:val="21"/>
                <w:lang w:bidi="ar"/>
              </w:rPr>
            </w:pPr>
            <w:r>
              <w:rPr>
                <w:rFonts w:eastAsia="仿宋_GB2312"/>
                <w:szCs w:val="21"/>
                <w:lang w:bidi="ar"/>
              </w:rPr>
              <w:t>当事人有证据足以证明没有主观过错的，不予行政处罚。法律、行政法规另有规定的，从其规定。</w:t>
            </w:r>
          </w:p>
        </w:tc>
        <w:tc>
          <w:tcPr>
            <w:tcW w:w="620" w:type="dxa"/>
            <w:tcBorders>
              <w:top w:val="single" w:color="auto" w:sz="4" w:space="0"/>
              <w:left w:val="single" w:color="auto" w:sz="4" w:space="0"/>
              <w:bottom w:val="single" w:color="auto" w:sz="4" w:space="0"/>
              <w:right w:val="single" w:color="auto" w:sz="4" w:space="0"/>
            </w:tcBorders>
            <w:noWrap w:val="0"/>
            <w:vAlign w:val="center"/>
          </w:tcPr>
          <w:p w14:paraId="46E70C78">
            <w:pPr>
              <w:spacing w:line="210" w:lineRule="exact"/>
              <w:jc w:val="center"/>
              <w:rPr>
                <w:rFonts w:eastAsia="仿宋_GB2312"/>
                <w:szCs w:val="21"/>
                <w:lang w:bidi="ar"/>
              </w:rPr>
            </w:pPr>
          </w:p>
        </w:tc>
      </w:tr>
      <w:tr w14:paraId="4BCD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14:paraId="2CA03F96">
            <w:pPr>
              <w:spacing w:line="280" w:lineRule="exact"/>
              <w:jc w:val="center"/>
              <w:rPr>
                <w:rFonts w:eastAsia="仿宋_GB2312"/>
                <w:szCs w:val="21"/>
              </w:rPr>
            </w:pPr>
            <w:r>
              <w:rPr>
                <w:rFonts w:eastAsia="仿宋_GB2312"/>
                <w:szCs w:val="21"/>
              </w:rPr>
              <w:t>2</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7308F7DD">
            <w:pPr>
              <w:spacing w:line="280" w:lineRule="exact"/>
              <w:rPr>
                <w:rFonts w:eastAsia="仿宋_GB2312"/>
                <w:szCs w:val="21"/>
                <w:lang w:bidi="ar"/>
              </w:rPr>
            </w:pPr>
            <w:r>
              <w:rPr>
                <w:rFonts w:eastAsia="仿宋_GB2312"/>
                <w:szCs w:val="21"/>
                <w:lang w:bidi="ar"/>
              </w:rPr>
              <w:t>统计调查对象未按照国家有关规定设置原始记录、统计台账</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24C90988">
            <w:pPr>
              <w:spacing w:line="280" w:lineRule="exact"/>
              <w:ind w:firstLine="420" w:firstLineChars="200"/>
              <w:rPr>
                <w:rFonts w:eastAsia="仿宋_GB2312"/>
                <w:szCs w:val="21"/>
                <w:lang w:bidi="ar"/>
              </w:rPr>
            </w:pPr>
            <w:r>
              <w:rPr>
                <w:rFonts w:eastAsia="仿宋_GB2312"/>
                <w:szCs w:val="21"/>
                <w:lang w:bidi="ar"/>
              </w:rPr>
              <w:t>《中华人民共和国统计法》第四十二条：作为统计调查对象的国家机关、企业事业单位或者其他组织迟报统计资料，或者未按照国家有关规定设置原始记录、统计台账的，由县级以上人民政府统计机构责令改正，责令改正，给予警告。</w:t>
            </w:r>
          </w:p>
          <w:p w14:paraId="435E2666">
            <w:pPr>
              <w:spacing w:line="280" w:lineRule="exact"/>
              <w:ind w:firstLine="420" w:firstLineChars="200"/>
              <w:rPr>
                <w:rFonts w:eastAsia="仿宋_GB2312"/>
                <w:szCs w:val="21"/>
                <w:lang w:bidi="ar"/>
              </w:rPr>
            </w:pPr>
            <w:r>
              <w:rPr>
                <w:rFonts w:eastAsia="仿宋_GB2312"/>
                <w:szCs w:val="21"/>
                <w:lang w:bidi="ar"/>
              </w:rPr>
              <w:t>企业事业单位或者其他组织有前款所列行为之一的，可以并处一万元以下的罚款。</w:t>
            </w:r>
          </w:p>
          <w:p w14:paraId="27BFB073">
            <w:pPr>
              <w:spacing w:line="280" w:lineRule="exact"/>
              <w:ind w:firstLine="420" w:firstLineChars="200"/>
              <w:rPr>
                <w:rFonts w:eastAsia="仿宋_GB2312"/>
                <w:szCs w:val="21"/>
                <w:lang w:bidi="ar"/>
              </w:rPr>
            </w:pPr>
            <w:r>
              <w:rPr>
                <w:rFonts w:eastAsia="仿宋_GB2312"/>
                <w:szCs w:val="21"/>
                <w:lang w:bidi="ar"/>
              </w:rPr>
              <w:t>个体工商户迟报统计资料的，由县级以上人民政府统计机构责令改正，责令改正，给予警告，可以并处一千元以下的罚款。</w:t>
            </w:r>
          </w:p>
          <w:p w14:paraId="0506E77A">
            <w:pPr>
              <w:spacing w:line="280" w:lineRule="exact"/>
              <w:ind w:firstLine="420" w:firstLineChars="200"/>
              <w:rPr>
                <w:rFonts w:eastAsia="仿宋_GB2312"/>
                <w:szCs w:val="21"/>
                <w:lang w:bidi="ar"/>
              </w:rPr>
            </w:pP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D789B17">
            <w:pPr>
              <w:spacing w:line="280" w:lineRule="exact"/>
              <w:rPr>
                <w:rFonts w:eastAsia="仿宋_GB2312"/>
                <w:szCs w:val="21"/>
                <w:lang w:bidi="ar"/>
              </w:rPr>
            </w:pPr>
            <w:r>
              <w:rPr>
                <w:rFonts w:eastAsia="仿宋_GB2312"/>
                <w:szCs w:val="21"/>
                <w:lang w:bidi="ar"/>
              </w:rPr>
              <w:t>1.未按照国家有关规定设置原始记录、统计台账，没有造成危害后果并及时改正，不予行政处罚；</w:t>
            </w:r>
          </w:p>
          <w:p w14:paraId="7E2199B0">
            <w:pPr>
              <w:spacing w:line="280" w:lineRule="exact"/>
              <w:rPr>
                <w:rFonts w:eastAsia="仿宋_GB2312"/>
                <w:szCs w:val="21"/>
                <w:lang w:bidi="ar"/>
              </w:rPr>
            </w:pPr>
            <w:r>
              <w:rPr>
                <w:rFonts w:eastAsia="仿宋_GB2312"/>
                <w:szCs w:val="21"/>
                <w:lang w:bidi="ar"/>
              </w:rPr>
              <w:t>2.未按照国家有关规定设置原始记录、统计台账，初次违法且危害后果轻微并及时改正的，可以不予行政处罚。</w:t>
            </w:r>
          </w:p>
          <w:p w14:paraId="6ECB8EB6">
            <w:pPr>
              <w:spacing w:line="280" w:lineRule="exact"/>
              <w:rPr>
                <w:rFonts w:eastAsia="仿宋_GB2312"/>
                <w:szCs w:val="21"/>
                <w:lang w:bidi="ar"/>
              </w:rPr>
            </w:pPr>
            <w:r>
              <w:rPr>
                <w:rFonts w:eastAsia="仿宋_GB2312"/>
                <w:szCs w:val="21"/>
                <w:lang w:bidi="ar"/>
              </w:rPr>
              <w:t>3.统计调查对象能提供相关证据证实其未按照国家有关规定设置原始记录、统计台账的行为没有主观过错的，不予行政处罚。</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C155EB8">
            <w:pPr>
              <w:widowControl/>
              <w:spacing w:line="280" w:lineRule="exact"/>
              <w:rPr>
                <w:rFonts w:eastAsia="仿宋_GB2312"/>
                <w:szCs w:val="21"/>
                <w:lang w:bidi="ar"/>
              </w:rPr>
            </w:pPr>
            <w:r>
              <w:rPr>
                <w:rFonts w:eastAsia="仿宋_GB2312"/>
                <w:szCs w:val="21"/>
                <w:lang w:bidi="ar"/>
              </w:rPr>
              <w:t>《中华人民共和国行政处罚法》第三十三条第一款和第二款：违法行为轻微并及时改正，没有造成危害后果的，不予行政处罚。初次违法且危害后果轻微并及时改正的，可以不予行政处罚。</w:t>
            </w:r>
          </w:p>
          <w:p w14:paraId="294FAD8B">
            <w:pPr>
              <w:widowControl/>
              <w:spacing w:line="280" w:lineRule="exact"/>
              <w:ind w:firstLine="210" w:firstLineChars="100"/>
              <w:rPr>
                <w:rFonts w:eastAsia="仿宋_GB2312"/>
                <w:szCs w:val="21"/>
                <w:lang w:bidi="ar"/>
              </w:rPr>
            </w:pPr>
            <w:r>
              <w:rPr>
                <w:rFonts w:eastAsia="仿宋_GB2312"/>
                <w:szCs w:val="21"/>
                <w:lang w:bidi="ar"/>
              </w:rPr>
              <w:t>当事人有证据足以证明没有主观过错的，不予行政处罚。法律、行政法规另有规定的，从其规定。</w:t>
            </w:r>
          </w:p>
        </w:tc>
        <w:tc>
          <w:tcPr>
            <w:tcW w:w="620" w:type="dxa"/>
            <w:tcBorders>
              <w:top w:val="single" w:color="auto" w:sz="4" w:space="0"/>
              <w:left w:val="single" w:color="auto" w:sz="4" w:space="0"/>
              <w:bottom w:val="single" w:color="auto" w:sz="4" w:space="0"/>
              <w:right w:val="single" w:color="auto" w:sz="4" w:space="0"/>
            </w:tcBorders>
            <w:noWrap w:val="0"/>
            <w:vAlign w:val="center"/>
          </w:tcPr>
          <w:p w14:paraId="5E061CA8">
            <w:pPr>
              <w:spacing w:line="220" w:lineRule="exact"/>
              <w:rPr>
                <w:rFonts w:eastAsia="方正仿宋简体"/>
                <w:szCs w:val="21"/>
              </w:rPr>
            </w:pPr>
          </w:p>
        </w:tc>
      </w:tr>
      <w:tr w14:paraId="027A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0" w:hRule="atLeast"/>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14:paraId="51B07287">
            <w:pPr>
              <w:spacing w:line="280" w:lineRule="exact"/>
              <w:jc w:val="center"/>
              <w:rPr>
                <w:rFonts w:eastAsia="仿宋_GB2312"/>
                <w:szCs w:val="21"/>
              </w:rPr>
            </w:pPr>
            <w:r>
              <w:rPr>
                <w:rFonts w:eastAsia="仿宋_GB2312"/>
                <w:szCs w:val="21"/>
              </w:rPr>
              <w:t>3</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0AEB797C">
            <w:pPr>
              <w:spacing w:line="280" w:lineRule="exact"/>
              <w:rPr>
                <w:rFonts w:eastAsia="仿宋_GB2312"/>
                <w:szCs w:val="21"/>
                <w:lang w:bidi="ar"/>
              </w:rPr>
            </w:pPr>
            <w:r>
              <w:rPr>
                <w:rFonts w:eastAsia="仿宋_GB2312"/>
                <w:szCs w:val="21"/>
                <w:lang w:bidi="ar"/>
              </w:rPr>
              <w:t>农业普查对象提供不真实或者不完整的农业普查资料</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17BD224C">
            <w:pPr>
              <w:spacing w:line="280" w:lineRule="exact"/>
              <w:ind w:firstLine="420" w:firstLineChars="200"/>
              <w:rPr>
                <w:rFonts w:eastAsia="仿宋_GB2312"/>
                <w:szCs w:val="21"/>
                <w:lang w:bidi="ar"/>
              </w:rPr>
            </w:pPr>
            <w:r>
              <w:rPr>
                <w:rFonts w:eastAsia="仿宋_GB2312"/>
                <w:szCs w:val="21"/>
                <w:lang w:bidi="ar"/>
              </w:rPr>
              <w:t>《全国农业普查条例》第三十九条第一款和第二款：农业普查对象有下列违法行为之一的，由县级以上人民政府统计机构或者国家统计局派出的调查队责令改正，给予通报批评；情节严重的，对负有直接责任的主管人员和其他直接责任人员依法给予行政处分或者纪律处分： </w:t>
            </w:r>
          </w:p>
          <w:p w14:paraId="3BE6EC80">
            <w:pPr>
              <w:spacing w:line="280" w:lineRule="exact"/>
              <w:ind w:firstLine="420" w:firstLineChars="200"/>
              <w:rPr>
                <w:rFonts w:eastAsia="仿宋_GB2312"/>
                <w:szCs w:val="21"/>
                <w:lang w:bidi="ar"/>
              </w:rPr>
            </w:pPr>
            <w:r>
              <w:rPr>
                <w:rFonts w:eastAsia="仿宋_GB2312"/>
                <w:szCs w:val="21"/>
                <w:lang w:bidi="ar"/>
              </w:rPr>
              <w:t>（一）拒绝或者妨碍普查办公室、普查人员依法进行调查的；</w:t>
            </w:r>
          </w:p>
          <w:p w14:paraId="63DE7383">
            <w:pPr>
              <w:spacing w:line="280" w:lineRule="exact"/>
              <w:ind w:firstLine="420" w:firstLineChars="200"/>
              <w:rPr>
                <w:rFonts w:eastAsia="仿宋_GB2312"/>
                <w:szCs w:val="21"/>
                <w:lang w:bidi="ar"/>
              </w:rPr>
            </w:pPr>
            <w:r>
              <w:rPr>
                <w:rFonts w:eastAsia="仿宋_GB2312"/>
                <w:szCs w:val="21"/>
                <w:lang w:bidi="ar"/>
              </w:rPr>
              <w:t>（二）提供虚假或者不完整的农业普查资料的； </w:t>
            </w:r>
          </w:p>
          <w:p w14:paraId="5CD9EB86">
            <w:pPr>
              <w:spacing w:line="280" w:lineRule="exact"/>
              <w:ind w:firstLine="420" w:firstLineChars="200"/>
              <w:rPr>
                <w:rFonts w:eastAsia="仿宋_GB2312"/>
                <w:szCs w:val="21"/>
                <w:lang w:bidi="ar"/>
              </w:rPr>
            </w:pPr>
            <w:r>
              <w:rPr>
                <w:rFonts w:eastAsia="仿宋_GB2312"/>
                <w:szCs w:val="21"/>
                <w:lang w:bidi="ar"/>
              </w:rPr>
              <w:t>（三）未按时提供与农业普查有关的资料，经催报后仍未提供的；</w:t>
            </w:r>
          </w:p>
          <w:p w14:paraId="117FB910">
            <w:pPr>
              <w:spacing w:line="280" w:lineRule="exact"/>
              <w:ind w:firstLine="420" w:firstLineChars="200"/>
              <w:rPr>
                <w:rFonts w:eastAsia="仿宋_GB2312"/>
                <w:szCs w:val="21"/>
                <w:lang w:bidi="ar"/>
              </w:rPr>
            </w:pPr>
            <w:r>
              <w:rPr>
                <w:rFonts w:eastAsia="仿宋_GB2312"/>
                <w:szCs w:val="21"/>
                <w:lang w:bidi="ar"/>
              </w:rPr>
              <w:t>（四）拒绝、推诿和阻挠依法进行的农业普查执法检查的；</w:t>
            </w:r>
          </w:p>
          <w:p w14:paraId="05BD1F24">
            <w:pPr>
              <w:spacing w:line="280" w:lineRule="exact"/>
              <w:ind w:firstLine="420" w:firstLineChars="200"/>
              <w:rPr>
                <w:rFonts w:eastAsia="仿宋_GB2312"/>
                <w:szCs w:val="21"/>
                <w:lang w:bidi="ar"/>
              </w:rPr>
            </w:pPr>
            <w:r>
              <w:rPr>
                <w:rFonts w:eastAsia="仿宋_GB2312"/>
                <w:szCs w:val="21"/>
                <w:lang w:bidi="ar"/>
              </w:rPr>
              <w:t>（五）在接受农业普查执法检查时，转移、隐匿、篡改、毁弃原始记录、统计台账、普查表、会计资料及其他相关资料的。 </w:t>
            </w:r>
          </w:p>
          <w:p w14:paraId="63B029C2">
            <w:pPr>
              <w:spacing w:line="280" w:lineRule="exact"/>
              <w:ind w:firstLine="420" w:firstLineChars="200"/>
              <w:rPr>
                <w:rFonts w:eastAsia="仿宋_GB2312"/>
                <w:szCs w:val="21"/>
                <w:lang w:bidi="ar"/>
              </w:rPr>
            </w:pPr>
            <w:r>
              <w:rPr>
                <w:rFonts w:eastAsia="仿宋_GB2312"/>
                <w:szCs w:val="21"/>
                <w:lang w:bidi="ar"/>
              </w:rPr>
              <w:t>农业生产经营单位有前款所列违法行为之一的，由县级以上人民政府统计机构或者国家统计局派出的调查队予以警告，可以并处5万元以下罚款；农业生产经营户有前款所列违法行为之一的，由县级以上人民政府统计机构或者国家统计局派出的调查队予以警告，可以并处1万元以下罚款。 </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E540603">
            <w:pPr>
              <w:spacing w:line="280" w:lineRule="exact"/>
              <w:rPr>
                <w:rFonts w:eastAsia="仿宋_GB2312"/>
                <w:szCs w:val="21"/>
                <w:lang w:bidi="ar"/>
              </w:rPr>
            </w:pPr>
            <w:r>
              <w:rPr>
                <w:rFonts w:eastAsia="仿宋_GB2312"/>
                <w:szCs w:val="21"/>
                <w:lang w:bidi="ar"/>
              </w:rPr>
              <w:t>1.农业普查对象提供不真实或者不完整的农业普查资料，价值量指标违法数额比例及数额较小，危害后果轻微并能及时改正的，可以不予行政处罚；</w:t>
            </w:r>
          </w:p>
          <w:p w14:paraId="505E81F4">
            <w:pPr>
              <w:spacing w:line="280" w:lineRule="exact"/>
              <w:rPr>
                <w:rFonts w:eastAsia="仿宋_GB2312"/>
                <w:szCs w:val="21"/>
                <w:lang w:bidi="ar"/>
              </w:rPr>
            </w:pPr>
            <w:r>
              <w:rPr>
                <w:rFonts w:eastAsia="仿宋_GB2312"/>
                <w:szCs w:val="21"/>
                <w:lang w:bidi="ar"/>
              </w:rPr>
              <w:t>2.农业普查对象能提供相关证据证实其提供不真实或者不完整的农业普查资料的行为没有主观过错的，不予行政处罚。</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CD931DE">
            <w:pPr>
              <w:widowControl/>
              <w:spacing w:line="280" w:lineRule="exact"/>
              <w:rPr>
                <w:rFonts w:eastAsia="仿宋_GB2312"/>
                <w:szCs w:val="21"/>
                <w:lang w:bidi="ar"/>
              </w:rPr>
            </w:pPr>
            <w:r>
              <w:rPr>
                <w:rFonts w:eastAsia="仿宋_GB2312"/>
                <w:szCs w:val="21"/>
                <w:lang w:bidi="ar"/>
              </w:rPr>
              <w:t>《中华人民共和国行政处罚法》第三十三条第一款和第二款：违法行为轻微并及时改正，没有造成危害后果的，不予行政处罚。初次违法且危害后果轻微并及时改正的，可以不予行政处罚。</w:t>
            </w:r>
          </w:p>
          <w:p w14:paraId="72DCA7ED">
            <w:pPr>
              <w:widowControl/>
              <w:spacing w:line="280" w:lineRule="exact"/>
              <w:rPr>
                <w:rFonts w:eastAsia="仿宋_GB2312"/>
                <w:szCs w:val="21"/>
              </w:rPr>
            </w:pPr>
            <w:r>
              <w:rPr>
                <w:rFonts w:eastAsia="仿宋_GB2312"/>
                <w:szCs w:val="21"/>
                <w:lang w:bidi="ar"/>
              </w:rPr>
              <w:t>当事人有证据足以证明没有主观过错的，不予行政处罚。法律、行政法规另有规定的，从其规定。</w:t>
            </w:r>
          </w:p>
        </w:tc>
        <w:tc>
          <w:tcPr>
            <w:tcW w:w="620" w:type="dxa"/>
            <w:tcBorders>
              <w:top w:val="single" w:color="auto" w:sz="4" w:space="0"/>
              <w:left w:val="single" w:color="auto" w:sz="4" w:space="0"/>
              <w:bottom w:val="single" w:color="auto" w:sz="4" w:space="0"/>
              <w:right w:val="single" w:color="auto" w:sz="4" w:space="0"/>
            </w:tcBorders>
            <w:noWrap w:val="0"/>
            <w:vAlign w:val="center"/>
          </w:tcPr>
          <w:p w14:paraId="47740B27">
            <w:pPr>
              <w:spacing w:line="220" w:lineRule="exact"/>
              <w:rPr>
                <w:rFonts w:eastAsia="方正仿宋简体"/>
                <w:szCs w:val="21"/>
              </w:rPr>
            </w:pPr>
          </w:p>
        </w:tc>
      </w:tr>
      <w:tr w14:paraId="647B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5" w:hRule="atLeast"/>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14:paraId="60D7DE79">
            <w:pPr>
              <w:spacing w:line="280" w:lineRule="exact"/>
              <w:jc w:val="center"/>
              <w:rPr>
                <w:rFonts w:eastAsia="仿宋_GB2312"/>
                <w:szCs w:val="21"/>
                <w:lang w:bidi="ar"/>
              </w:rPr>
            </w:pPr>
            <w:r>
              <w:rPr>
                <w:rFonts w:eastAsia="仿宋_GB2312"/>
                <w:szCs w:val="21"/>
                <w:lang w:bidi="ar"/>
              </w:rPr>
              <w:t>4</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4AF3D2FE">
            <w:pPr>
              <w:spacing w:line="280" w:lineRule="exact"/>
              <w:rPr>
                <w:rFonts w:eastAsia="仿宋_GB2312"/>
                <w:szCs w:val="21"/>
                <w:lang w:bidi="ar"/>
              </w:rPr>
            </w:pPr>
            <w:r>
              <w:rPr>
                <w:rFonts w:eastAsia="仿宋_GB2312"/>
                <w:szCs w:val="21"/>
                <w:lang w:bidi="ar"/>
              </w:rPr>
              <w:t>经济普查对象提供不真实或者不完整的经济普查资料</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4FA570ED">
            <w:pPr>
              <w:spacing w:line="280" w:lineRule="exact"/>
              <w:ind w:firstLine="420" w:firstLineChars="200"/>
              <w:rPr>
                <w:rFonts w:eastAsia="仿宋_GB2312"/>
                <w:szCs w:val="21"/>
                <w:lang w:bidi="ar"/>
              </w:rPr>
            </w:pPr>
            <w:r>
              <w:rPr>
                <w:rFonts w:eastAsia="仿宋_GB2312"/>
                <w:szCs w:val="21"/>
                <w:lang w:bidi="ar"/>
              </w:rPr>
              <w:t>《全国经济普查条例》第三十六条 经济普查对象（个体经营户除外）有下列行为之一的，由县级以上人民政府统计机构责令改正，责令改正，给予警告，可以予以通报；其直接负责的主管人员和其他直接责任人员属于国家工作人员的，依法给予处分：（一）拒绝或者妨碍接受经济普查机构、经济普查人员依法进行的调查的；（二）提供虚假或者不完整的经济普查资料的；（三）未按时提供与经济普查有关的资料，经催报后仍未提供的。</w:t>
            </w:r>
          </w:p>
          <w:p w14:paraId="427FF1E4">
            <w:pPr>
              <w:spacing w:line="280" w:lineRule="exact"/>
              <w:ind w:firstLine="420" w:firstLineChars="200"/>
              <w:rPr>
                <w:rFonts w:eastAsia="仿宋_GB2312"/>
                <w:szCs w:val="21"/>
                <w:lang w:bidi="ar"/>
              </w:rPr>
            </w:pPr>
            <w:r>
              <w:rPr>
                <w:rFonts w:eastAsia="仿宋_GB2312"/>
                <w:szCs w:val="21"/>
                <w:lang w:bidi="ar"/>
              </w:rPr>
              <w:t>企业事业单位或者其他组织有前款所列行为之一的，可以并处5万元以下的罚款；情节严重的，并处5万元以上20万元以下的罚款。</w:t>
            </w:r>
          </w:p>
          <w:p w14:paraId="179DCC33">
            <w:pPr>
              <w:spacing w:line="280" w:lineRule="exact"/>
              <w:ind w:firstLine="420" w:firstLineChars="200"/>
              <w:rPr>
                <w:rFonts w:eastAsia="仿宋_GB2312"/>
                <w:szCs w:val="21"/>
                <w:lang w:bidi="ar"/>
              </w:rPr>
            </w:pPr>
            <w:r>
              <w:rPr>
                <w:rFonts w:eastAsia="仿宋_GB2312"/>
                <w:szCs w:val="21"/>
                <w:lang w:bidi="ar"/>
              </w:rPr>
              <w:t>个体经营户有本条第一款所列行为之一的，由县级以上人民政府统计机构责令改正，责令改正，给予警告，可以并处1万元以下的罚款。</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0883D16">
            <w:pPr>
              <w:spacing w:line="280" w:lineRule="exact"/>
              <w:rPr>
                <w:rFonts w:eastAsia="仿宋_GB2312"/>
                <w:szCs w:val="21"/>
                <w:lang w:bidi="ar"/>
              </w:rPr>
            </w:pPr>
            <w:r>
              <w:rPr>
                <w:rFonts w:eastAsia="仿宋_GB2312"/>
                <w:szCs w:val="21"/>
                <w:lang w:bidi="ar"/>
              </w:rPr>
              <w:t>1.经济普查对象提供不真实或者不完整的经济普查资料，价值量指标违法数额比例及数额较小，危害后果轻微并能及时改正的，可以不予行政处罚；</w:t>
            </w:r>
          </w:p>
          <w:p w14:paraId="439C25AC">
            <w:pPr>
              <w:spacing w:line="280" w:lineRule="exact"/>
              <w:rPr>
                <w:rFonts w:eastAsia="仿宋_GB2312"/>
                <w:szCs w:val="21"/>
                <w:lang w:bidi="ar"/>
              </w:rPr>
            </w:pPr>
            <w:r>
              <w:rPr>
                <w:rFonts w:eastAsia="仿宋_GB2312"/>
                <w:szCs w:val="21"/>
                <w:lang w:bidi="ar"/>
              </w:rPr>
              <w:t>2.经济普查对象能提供相关证据证实其提供不真实或者不完整的经济普查资料的行为没有主观过错的，不予行政处罚。</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4D89F80">
            <w:pPr>
              <w:widowControl/>
              <w:spacing w:line="280" w:lineRule="exact"/>
              <w:rPr>
                <w:rFonts w:eastAsia="仿宋_GB2312"/>
                <w:szCs w:val="21"/>
                <w:lang w:bidi="ar"/>
              </w:rPr>
            </w:pPr>
            <w:r>
              <w:rPr>
                <w:rFonts w:eastAsia="仿宋_GB2312"/>
                <w:szCs w:val="21"/>
                <w:lang w:bidi="ar"/>
              </w:rPr>
              <w:t>《中华人民共和国行政处罚法》第三十三条第一款和第二款：违法行为轻微并及时改正，没有造成危害后果的，不予行政处罚。初次违法且危害后果轻微并及时改正的，可以不予行政处罚。</w:t>
            </w:r>
          </w:p>
          <w:p w14:paraId="3748A3E1">
            <w:pPr>
              <w:widowControl/>
              <w:spacing w:line="280" w:lineRule="exact"/>
              <w:rPr>
                <w:rFonts w:eastAsia="仿宋_GB2312"/>
                <w:szCs w:val="21"/>
                <w:lang w:bidi="ar"/>
              </w:rPr>
            </w:pPr>
            <w:r>
              <w:rPr>
                <w:rFonts w:eastAsia="仿宋_GB2312"/>
                <w:szCs w:val="21"/>
                <w:lang w:bidi="ar"/>
              </w:rPr>
              <w:t>当事人有证据足以证明没有主观过错的，不予行政处罚。法律、行政法规另有规定的，从其规定。</w:t>
            </w:r>
          </w:p>
        </w:tc>
        <w:tc>
          <w:tcPr>
            <w:tcW w:w="620" w:type="dxa"/>
            <w:tcBorders>
              <w:top w:val="single" w:color="auto" w:sz="4" w:space="0"/>
              <w:left w:val="single" w:color="auto" w:sz="4" w:space="0"/>
              <w:bottom w:val="single" w:color="auto" w:sz="4" w:space="0"/>
              <w:right w:val="single" w:color="auto" w:sz="4" w:space="0"/>
            </w:tcBorders>
            <w:noWrap w:val="0"/>
            <w:vAlign w:val="center"/>
          </w:tcPr>
          <w:p w14:paraId="566C1DFE">
            <w:pPr>
              <w:spacing w:line="220" w:lineRule="exact"/>
              <w:rPr>
                <w:rFonts w:eastAsia="方正仿宋简体"/>
                <w:szCs w:val="21"/>
                <w:lang w:bidi="ar"/>
              </w:rPr>
            </w:pPr>
          </w:p>
        </w:tc>
      </w:tr>
    </w:tbl>
    <w:p w14:paraId="3D82551C">
      <w:pPr>
        <w:spacing w:line="640" w:lineRule="exact"/>
        <w:jc w:val="left"/>
        <w:rPr>
          <w:rFonts w:eastAsia="方正黑体简体"/>
          <w:sz w:val="32"/>
          <w:szCs w:val="32"/>
          <w:shd w:val="clear" w:color="auto" w:fill="FFFFFF"/>
        </w:rPr>
        <w:sectPr>
          <w:footerReference r:id="rId3" w:type="default"/>
          <w:pgSz w:w="11900" w:h="16840"/>
          <w:pgMar w:top="1417" w:right="1474" w:bottom="1417" w:left="1587" w:header="851" w:footer="992" w:gutter="0"/>
          <w:cols w:space="720" w:num="1"/>
          <w:docGrid w:type="lines" w:linePitch="312" w:charSpace="0"/>
        </w:sectPr>
      </w:pPr>
    </w:p>
    <w:p w14:paraId="18A87850">
      <w:pPr>
        <w:spacing w:line="640" w:lineRule="exact"/>
        <w:jc w:val="left"/>
        <w:rPr>
          <w:rFonts w:eastAsia="方正黑体简体"/>
          <w:sz w:val="32"/>
          <w:szCs w:val="32"/>
          <w:shd w:val="clear" w:color="auto" w:fill="FFFFFF"/>
        </w:rPr>
      </w:pPr>
      <w:r>
        <w:rPr>
          <w:rFonts w:eastAsia="方正黑体简体"/>
          <w:sz w:val="32"/>
          <w:szCs w:val="32"/>
          <w:shd w:val="clear" w:color="auto" w:fill="FFFFFF"/>
        </w:rPr>
        <w:t>附表</w:t>
      </w:r>
    </w:p>
    <w:p w14:paraId="121F4505">
      <w:pPr>
        <w:spacing w:line="640" w:lineRule="exact"/>
        <w:jc w:val="center"/>
        <w:rPr>
          <w:rFonts w:eastAsia="方正小标宋简体"/>
          <w:sz w:val="36"/>
          <w:szCs w:val="36"/>
        </w:rPr>
      </w:pPr>
      <w:r>
        <w:rPr>
          <w:rFonts w:eastAsia="方正小标宋简体"/>
          <w:sz w:val="36"/>
          <w:szCs w:val="36"/>
          <w:lang w:val="en"/>
        </w:rPr>
        <w:t>天津市</w:t>
      </w:r>
      <w:r>
        <w:rPr>
          <w:rFonts w:eastAsia="方正小标宋简体"/>
          <w:sz w:val="36"/>
          <w:szCs w:val="36"/>
        </w:rPr>
        <w:t>统计轻微违法行为不予处罚标准</w:t>
      </w:r>
    </w:p>
    <w:tbl>
      <w:tblPr>
        <w:tblStyle w:val="2"/>
        <w:tblW w:w="10339" w:type="dxa"/>
        <w:jc w:val="center"/>
        <w:tblLayout w:type="fixed"/>
        <w:tblCellMar>
          <w:top w:w="0" w:type="dxa"/>
          <w:left w:w="0" w:type="dxa"/>
          <w:bottom w:w="0" w:type="dxa"/>
          <w:right w:w="0" w:type="dxa"/>
        </w:tblCellMar>
      </w:tblPr>
      <w:tblGrid>
        <w:gridCol w:w="1494"/>
        <w:gridCol w:w="1839"/>
        <w:gridCol w:w="7006"/>
      </w:tblGrid>
      <w:tr w14:paraId="02375886">
        <w:tblPrEx>
          <w:tblCellMar>
            <w:top w:w="0" w:type="dxa"/>
            <w:left w:w="0" w:type="dxa"/>
            <w:bottom w:w="0" w:type="dxa"/>
            <w:right w:w="0" w:type="dxa"/>
          </w:tblCellMar>
        </w:tblPrEx>
        <w:trPr>
          <w:trHeight w:val="330" w:hRule="atLeast"/>
          <w:jc w:val="center"/>
        </w:trPr>
        <w:tc>
          <w:tcPr>
            <w:tcW w:w="1494" w:type="dxa"/>
            <w:tcBorders>
              <w:top w:val="single" w:color="auto" w:sz="4" w:space="0"/>
              <w:left w:val="single" w:color="auto" w:sz="4" w:space="0"/>
              <w:bottom w:val="single" w:color="auto" w:sz="4" w:space="0"/>
              <w:right w:val="single" w:color="auto" w:sz="4" w:space="0"/>
            </w:tcBorders>
            <w:noWrap w:val="0"/>
            <w:tcMar>
              <w:top w:w="0" w:type="dxa"/>
              <w:left w:w="64" w:type="dxa"/>
              <w:bottom w:w="0" w:type="dxa"/>
              <w:right w:w="64" w:type="dxa"/>
            </w:tcMar>
            <w:vAlign w:val="center"/>
          </w:tcPr>
          <w:p w14:paraId="6D223A51">
            <w:pPr>
              <w:widowControl/>
              <w:spacing w:line="219" w:lineRule="atLeast"/>
              <w:jc w:val="center"/>
              <w:textAlignment w:val="baseline"/>
              <w:rPr>
                <w:rFonts w:eastAsia="黑体"/>
                <w:kern w:val="0"/>
                <w:szCs w:val="21"/>
              </w:rPr>
            </w:pPr>
            <w:r>
              <w:rPr>
                <w:rFonts w:eastAsia="黑体"/>
                <w:kern w:val="0"/>
                <w:szCs w:val="21"/>
              </w:rPr>
              <w:t>专业</w:t>
            </w:r>
          </w:p>
        </w:tc>
        <w:tc>
          <w:tcPr>
            <w:tcW w:w="1839" w:type="dxa"/>
            <w:tcBorders>
              <w:top w:val="single" w:color="auto" w:sz="4" w:space="0"/>
              <w:left w:val="nil"/>
              <w:bottom w:val="single" w:color="auto" w:sz="4" w:space="0"/>
              <w:right w:val="single" w:color="auto" w:sz="4" w:space="0"/>
            </w:tcBorders>
            <w:noWrap w:val="0"/>
            <w:tcMar>
              <w:top w:w="0" w:type="dxa"/>
              <w:left w:w="64" w:type="dxa"/>
              <w:bottom w:w="0" w:type="dxa"/>
              <w:right w:w="64" w:type="dxa"/>
            </w:tcMar>
            <w:vAlign w:val="center"/>
          </w:tcPr>
          <w:p w14:paraId="11A8986F">
            <w:pPr>
              <w:widowControl/>
              <w:spacing w:line="219" w:lineRule="atLeast"/>
              <w:jc w:val="center"/>
              <w:textAlignment w:val="baseline"/>
              <w:rPr>
                <w:rFonts w:eastAsia="黑体"/>
                <w:kern w:val="0"/>
                <w:szCs w:val="21"/>
              </w:rPr>
            </w:pPr>
            <w:r>
              <w:rPr>
                <w:rFonts w:eastAsia="黑体"/>
                <w:kern w:val="0"/>
                <w:szCs w:val="21"/>
              </w:rPr>
              <w:t>指标名称</w:t>
            </w:r>
          </w:p>
        </w:tc>
        <w:tc>
          <w:tcPr>
            <w:tcW w:w="7006" w:type="dxa"/>
            <w:tcBorders>
              <w:top w:val="single" w:color="auto" w:sz="4" w:space="0"/>
              <w:left w:val="nil"/>
              <w:bottom w:val="single" w:color="auto" w:sz="4" w:space="0"/>
              <w:right w:val="single" w:color="auto" w:sz="4" w:space="0"/>
            </w:tcBorders>
            <w:noWrap w:val="0"/>
            <w:tcMar>
              <w:top w:w="0" w:type="dxa"/>
              <w:left w:w="64" w:type="dxa"/>
              <w:bottom w:w="0" w:type="dxa"/>
              <w:right w:w="64" w:type="dxa"/>
            </w:tcMar>
            <w:vAlign w:val="center"/>
          </w:tcPr>
          <w:p w14:paraId="74C5C4F2">
            <w:pPr>
              <w:widowControl/>
              <w:spacing w:line="219" w:lineRule="atLeast"/>
              <w:ind w:firstLine="173"/>
              <w:jc w:val="center"/>
              <w:textAlignment w:val="baseline"/>
              <w:rPr>
                <w:rFonts w:eastAsia="黑体"/>
                <w:kern w:val="0"/>
                <w:szCs w:val="21"/>
              </w:rPr>
            </w:pPr>
            <w:r>
              <w:rPr>
                <w:rFonts w:eastAsia="黑体"/>
                <w:kern w:val="0"/>
                <w:szCs w:val="21"/>
              </w:rPr>
              <w:t>不予行政处罚情形（需满足前置条件）</w:t>
            </w:r>
          </w:p>
        </w:tc>
      </w:tr>
      <w:tr w14:paraId="5BDA0E42">
        <w:tblPrEx>
          <w:tblCellMar>
            <w:top w:w="0" w:type="dxa"/>
            <w:left w:w="0" w:type="dxa"/>
            <w:bottom w:w="0" w:type="dxa"/>
            <w:right w:w="0" w:type="dxa"/>
          </w:tblCellMar>
        </w:tblPrEx>
        <w:trPr>
          <w:trHeight w:val="437" w:hRule="atLeast"/>
          <w:jc w:val="center"/>
        </w:trPr>
        <w:tc>
          <w:tcPr>
            <w:tcW w:w="1494" w:type="dxa"/>
            <w:tcBorders>
              <w:top w:val="nil"/>
              <w:left w:val="single" w:color="auto" w:sz="4" w:space="0"/>
              <w:bottom w:val="single" w:color="auto" w:sz="4" w:space="0"/>
              <w:right w:val="single" w:color="auto" w:sz="4" w:space="0"/>
            </w:tcBorders>
            <w:noWrap w:val="0"/>
            <w:tcMar>
              <w:top w:w="0" w:type="dxa"/>
              <w:left w:w="64" w:type="dxa"/>
              <w:bottom w:w="0" w:type="dxa"/>
              <w:right w:w="64" w:type="dxa"/>
            </w:tcMar>
            <w:vAlign w:val="center"/>
          </w:tcPr>
          <w:p w14:paraId="7F18D01E">
            <w:pPr>
              <w:widowControl/>
              <w:spacing w:line="191" w:lineRule="atLeast"/>
              <w:jc w:val="center"/>
              <w:textAlignment w:val="baseline"/>
              <w:rPr>
                <w:rFonts w:eastAsia="仿宋_GB2312"/>
                <w:kern w:val="0"/>
                <w:szCs w:val="21"/>
              </w:rPr>
            </w:pPr>
            <w:r>
              <w:rPr>
                <w:rFonts w:eastAsia="仿宋_GB2312"/>
                <w:kern w:val="0"/>
                <w:szCs w:val="21"/>
                <w:shd w:val="clear" w:color="auto" w:fill="FFFFFF"/>
              </w:rPr>
              <w:t>工业</w:t>
            </w:r>
          </w:p>
        </w:tc>
        <w:tc>
          <w:tcPr>
            <w:tcW w:w="1839"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3ECE2536">
            <w:pPr>
              <w:widowControl/>
              <w:spacing w:line="191" w:lineRule="atLeast"/>
              <w:textAlignment w:val="baseline"/>
              <w:rPr>
                <w:rFonts w:eastAsia="仿宋_GB2312"/>
                <w:kern w:val="0"/>
                <w:szCs w:val="21"/>
              </w:rPr>
            </w:pPr>
            <w:r>
              <w:rPr>
                <w:rFonts w:eastAsia="仿宋_GB2312"/>
                <w:kern w:val="0"/>
                <w:szCs w:val="21"/>
                <w:shd w:val="clear" w:color="auto" w:fill="FFFFFF"/>
              </w:rPr>
              <w:t>工业总产值</w:t>
            </w:r>
          </w:p>
          <w:p w14:paraId="6E9F6A84">
            <w:pPr>
              <w:widowControl/>
              <w:spacing w:line="191" w:lineRule="atLeast"/>
              <w:textAlignment w:val="baseline"/>
              <w:rPr>
                <w:rFonts w:eastAsia="仿宋_GB2312"/>
                <w:kern w:val="0"/>
                <w:szCs w:val="21"/>
              </w:rPr>
            </w:pPr>
            <w:r>
              <w:rPr>
                <w:rFonts w:eastAsia="仿宋_GB2312"/>
                <w:kern w:val="0"/>
                <w:szCs w:val="21"/>
                <w:shd w:val="clear" w:color="auto" w:fill="FFFFFF"/>
              </w:rPr>
              <w:t>营业收入</w:t>
            </w:r>
          </w:p>
        </w:tc>
        <w:tc>
          <w:tcPr>
            <w:tcW w:w="7006"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428D1ACC">
            <w:pPr>
              <w:widowControl/>
              <w:spacing w:line="191" w:lineRule="atLeast"/>
              <w:jc w:val="left"/>
              <w:textAlignment w:val="baseline"/>
              <w:rPr>
                <w:rFonts w:eastAsia="仿宋_GB2312"/>
                <w:kern w:val="0"/>
                <w:szCs w:val="21"/>
              </w:rPr>
            </w:pPr>
            <w:r>
              <w:rPr>
                <w:rFonts w:eastAsia="仿宋_GB2312"/>
                <w:kern w:val="0"/>
                <w:szCs w:val="21"/>
              </w:rPr>
              <w:t>违法数额比例小于5%且违法数额在5000万元以下；违法数额在1000万以下。</w:t>
            </w:r>
          </w:p>
        </w:tc>
      </w:tr>
      <w:tr w14:paraId="3F578859">
        <w:tblPrEx>
          <w:tblCellMar>
            <w:top w:w="0" w:type="dxa"/>
            <w:left w:w="0" w:type="dxa"/>
            <w:bottom w:w="0" w:type="dxa"/>
            <w:right w:w="0" w:type="dxa"/>
          </w:tblCellMar>
        </w:tblPrEx>
        <w:trPr>
          <w:trHeight w:val="383" w:hRule="atLeast"/>
          <w:jc w:val="center"/>
        </w:trPr>
        <w:tc>
          <w:tcPr>
            <w:tcW w:w="1494" w:type="dxa"/>
            <w:tcBorders>
              <w:top w:val="nil"/>
              <w:left w:val="single" w:color="auto" w:sz="4" w:space="0"/>
              <w:bottom w:val="single" w:color="auto" w:sz="4" w:space="0"/>
              <w:right w:val="single" w:color="auto" w:sz="4" w:space="0"/>
            </w:tcBorders>
            <w:noWrap w:val="0"/>
            <w:tcMar>
              <w:top w:w="0" w:type="dxa"/>
              <w:left w:w="64" w:type="dxa"/>
              <w:bottom w:w="0" w:type="dxa"/>
              <w:right w:w="64" w:type="dxa"/>
            </w:tcMar>
            <w:vAlign w:val="center"/>
          </w:tcPr>
          <w:p w14:paraId="5706454C">
            <w:pPr>
              <w:widowControl/>
              <w:spacing w:line="191" w:lineRule="atLeast"/>
              <w:jc w:val="center"/>
              <w:textAlignment w:val="baseline"/>
              <w:rPr>
                <w:rFonts w:eastAsia="仿宋_GB2312"/>
                <w:kern w:val="0"/>
                <w:szCs w:val="21"/>
              </w:rPr>
            </w:pPr>
            <w:r>
              <w:rPr>
                <w:rFonts w:eastAsia="仿宋_GB2312"/>
                <w:kern w:val="0"/>
                <w:szCs w:val="21"/>
                <w:shd w:val="clear" w:color="auto" w:fill="FFFFFF"/>
              </w:rPr>
              <w:t>固定资产投资</w:t>
            </w:r>
          </w:p>
        </w:tc>
        <w:tc>
          <w:tcPr>
            <w:tcW w:w="1839"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46A88D37">
            <w:pPr>
              <w:widowControl/>
              <w:spacing w:line="191" w:lineRule="atLeast"/>
              <w:textAlignment w:val="baseline"/>
              <w:rPr>
                <w:rFonts w:eastAsia="仿宋_GB2312"/>
                <w:kern w:val="0"/>
                <w:szCs w:val="21"/>
              </w:rPr>
            </w:pPr>
            <w:r>
              <w:rPr>
                <w:rFonts w:eastAsia="仿宋_GB2312"/>
                <w:kern w:val="0"/>
                <w:szCs w:val="21"/>
                <w:shd w:val="clear" w:color="auto" w:fill="FFFFFF"/>
              </w:rPr>
              <w:t>本年完成投资</w:t>
            </w:r>
          </w:p>
        </w:tc>
        <w:tc>
          <w:tcPr>
            <w:tcW w:w="7006"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3E472F42">
            <w:pPr>
              <w:widowControl/>
              <w:spacing w:line="191" w:lineRule="atLeast"/>
              <w:jc w:val="left"/>
              <w:textAlignment w:val="baseline"/>
              <w:rPr>
                <w:rFonts w:eastAsia="仿宋_GB2312"/>
                <w:kern w:val="0"/>
                <w:szCs w:val="21"/>
              </w:rPr>
            </w:pPr>
            <w:r>
              <w:rPr>
                <w:rFonts w:eastAsia="仿宋_GB2312"/>
                <w:kern w:val="0"/>
                <w:szCs w:val="21"/>
              </w:rPr>
              <w:t>违法数额比例小于5%且违法数额在1000万元以下；违法数额在300万元以下。</w:t>
            </w:r>
          </w:p>
        </w:tc>
      </w:tr>
      <w:tr w14:paraId="59D205D2">
        <w:tblPrEx>
          <w:tblCellMar>
            <w:top w:w="0" w:type="dxa"/>
            <w:left w:w="0" w:type="dxa"/>
            <w:bottom w:w="0" w:type="dxa"/>
            <w:right w:w="0" w:type="dxa"/>
          </w:tblCellMar>
        </w:tblPrEx>
        <w:trPr>
          <w:trHeight w:val="355" w:hRule="atLeast"/>
          <w:jc w:val="center"/>
        </w:trPr>
        <w:tc>
          <w:tcPr>
            <w:tcW w:w="1494" w:type="dxa"/>
            <w:tcBorders>
              <w:top w:val="nil"/>
              <w:left w:val="single" w:color="auto" w:sz="4" w:space="0"/>
              <w:bottom w:val="single" w:color="auto" w:sz="4" w:space="0"/>
              <w:right w:val="single" w:color="auto" w:sz="4" w:space="0"/>
            </w:tcBorders>
            <w:noWrap w:val="0"/>
            <w:tcMar>
              <w:top w:w="0" w:type="dxa"/>
              <w:left w:w="64" w:type="dxa"/>
              <w:bottom w:w="0" w:type="dxa"/>
              <w:right w:w="64" w:type="dxa"/>
            </w:tcMar>
            <w:vAlign w:val="center"/>
          </w:tcPr>
          <w:p w14:paraId="457BB01B">
            <w:pPr>
              <w:widowControl/>
              <w:spacing w:line="191" w:lineRule="atLeast"/>
              <w:jc w:val="center"/>
              <w:textAlignment w:val="baseline"/>
              <w:rPr>
                <w:rFonts w:eastAsia="仿宋_GB2312"/>
                <w:kern w:val="0"/>
                <w:szCs w:val="21"/>
              </w:rPr>
            </w:pPr>
            <w:r>
              <w:rPr>
                <w:rFonts w:eastAsia="仿宋_GB2312"/>
                <w:kern w:val="0"/>
                <w:szCs w:val="21"/>
                <w:shd w:val="clear" w:color="auto" w:fill="FFFFFF"/>
              </w:rPr>
              <w:t>批发业</w:t>
            </w:r>
          </w:p>
        </w:tc>
        <w:tc>
          <w:tcPr>
            <w:tcW w:w="1839" w:type="dxa"/>
            <w:vMerge w:val="restart"/>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2DB8C9B6">
            <w:pPr>
              <w:widowControl/>
              <w:spacing w:line="191" w:lineRule="atLeast"/>
              <w:textAlignment w:val="baseline"/>
              <w:rPr>
                <w:rFonts w:eastAsia="仿宋_GB2312"/>
                <w:kern w:val="0"/>
                <w:szCs w:val="21"/>
              </w:rPr>
            </w:pPr>
            <w:r>
              <w:rPr>
                <w:rFonts w:eastAsia="仿宋_GB2312"/>
                <w:kern w:val="0"/>
                <w:szCs w:val="21"/>
                <w:shd w:val="clear" w:color="auto" w:fill="FFFFFF"/>
              </w:rPr>
              <w:t>商品销售额</w:t>
            </w:r>
          </w:p>
          <w:p w14:paraId="5C6DEBB0">
            <w:pPr>
              <w:widowControl/>
              <w:spacing w:line="191" w:lineRule="atLeast"/>
              <w:textAlignment w:val="baseline"/>
              <w:rPr>
                <w:rFonts w:eastAsia="仿宋_GB2312"/>
                <w:kern w:val="0"/>
                <w:szCs w:val="21"/>
              </w:rPr>
            </w:pPr>
            <w:r>
              <w:rPr>
                <w:rFonts w:eastAsia="仿宋_GB2312"/>
                <w:kern w:val="0"/>
                <w:szCs w:val="21"/>
                <w:shd w:val="clear" w:color="auto" w:fill="FFFFFF"/>
              </w:rPr>
              <w:t>营业收入</w:t>
            </w:r>
          </w:p>
        </w:tc>
        <w:tc>
          <w:tcPr>
            <w:tcW w:w="7006"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3FC2151D">
            <w:pPr>
              <w:widowControl/>
              <w:spacing w:line="191" w:lineRule="atLeast"/>
              <w:jc w:val="left"/>
              <w:textAlignment w:val="baseline"/>
              <w:rPr>
                <w:rFonts w:eastAsia="仿宋_GB2312"/>
                <w:kern w:val="0"/>
                <w:szCs w:val="21"/>
              </w:rPr>
            </w:pPr>
            <w:r>
              <w:rPr>
                <w:rFonts w:eastAsia="仿宋_GB2312"/>
                <w:kern w:val="0"/>
                <w:szCs w:val="21"/>
              </w:rPr>
              <w:t>违法数额比例小于5%且违法数额在5000万元以下；违法数额在1000万元以下。</w:t>
            </w:r>
          </w:p>
        </w:tc>
      </w:tr>
      <w:tr w14:paraId="36406E09">
        <w:tblPrEx>
          <w:tblCellMar>
            <w:top w:w="0" w:type="dxa"/>
            <w:left w:w="0" w:type="dxa"/>
            <w:bottom w:w="0" w:type="dxa"/>
            <w:right w:w="0" w:type="dxa"/>
          </w:tblCellMar>
        </w:tblPrEx>
        <w:trPr>
          <w:trHeight w:val="374" w:hRule="atLeast"/>
          <w:jc w:val="center"/>
        </w:trPr>
        <w:tc>
          <w:tcPr>
            <w:tcW w:w="1494" w:type="dxa"/>
            <w:tcBorders>
              <w:top w:val="nil"/>
              <w:left w:val="single" w:color="auto" w:sz="4" w:space="0"/>
              <w:bottom w:val="single" w:color="auto" w:sz="4" w:space="0"/>
              <w:right w:val="single" w:color="auto" w:sz="4" w:space="0"/>
            </w:tcBorders>
            <w:noWrap w:val="0"/>
            <w:tcMar>
              <w:top w:w="0" w:type="dxa"/>
              <w:left w:w="64" w:type="dxa"/>
              <w:bottom w:w="0" w:type="dxa"/>
              <w:right w:w="64" w:type="dxa"/>
            </w:tcMar>
            <w:vAlign w:val="center"/>
          </w:tcPr>
          <w:p w14:paraId="357FCDD9">
            <w:pPr>
              <w:widowControl/>
              <w:spacing w:line="191" w:lineRule="atLeast"/>
              <w:jc w:val="center"/>
              <w:textAlignment w:val="baseline"/>
              <w:rPr>
                <w:rFonts w:eastAsia="仿宋_GB2312"/>
                <w:kern w:val="0"/>
                <w:szCs w:val="21"/>
              </w:rPr>
            </w:pPr>
            <w:r>
              <w:rPr>
                <w:rFonts w:eastAsia="仿宋_GB2312"/>
                <w:kern w:val="0"/>
                <w:szCs w:val="21"/>
                <w:shd w:val="clear" w:color="auto" w:fill="FFFFFF"/>
              </w:rPr>
              <w:t>零售业</w:t>
            </w:r>
          </w:p>
        </w:tc>
        <w:tc>
          <w:tcPr>
            <w:tcW w:w="1839" w:type="dxa"/>
            <w:vMerge w:val="continue"/>
            <w:tcBorders>
              <w:top w:val="nil"/>
              <w:left w:val="nil"/>
              <w:bottom w:val="single" w:color="auto" w:sz="4" w:space="0"/>
              <w:right w:val="single" w:color="auto" w:sz="4" w:space="0"/>
            </w:tcBorders>
            <w:noWrap w:val="0"/>
            <w:vAlign w:val="bottom"/>
          </w:tcPr>
          <w:p w14:paraId="25E6CDB5">
            <w:pPr>
              <w:widowControl/>
              <w:jc w:val="left"/>
              <w:rPr>
                <w:rFonts w:eastAsia="仿宋_GB2312"/>
                <w:kern w:val="0"/>
                <w:szCs w:val="21"/>
              </w:rPr>
            </w:pPr>
          </w:p>
        </w:tc>
        <w:tc>
          <w:tcPr>
            <w:tcW w:w="7006"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7C071A88">
            <w:pPr>
              <w:widowControl/>
              <w:spacing w:line="191" w:lineRule="atLeast"/>
              <w:jc w:val="left"/>
              <w:textAlignment w:val="baseline"/>
              <w:rPr>
                <w:rFonts w:eastAsia="仿宋_GB2312"/>
                <w:kern w:val="0"/>
                <w:szCs w:val="21"/>
              </w:rPr>
            </w:pPr>
            <w:r>
              <w:rPr>
                <w:rFonts w:eastAsia="仿宋_GB2312"/>
                <w:kern w:val="0"/>
                <w:szCs w:val="21"/>
              </w:rPr>
              <w:t>违法数额比例小于5%且违法数额在1000万元以下；违法数额在300万元以下。</w:t>
            </w:r>
          </w:p>
        </w:tc>
      </w:tr>
      <w:tr w14:paraId="61194432">
        <w:tblPrEx>
          <w:tblCellMar>
            <w:top w:w="0" w:type="dxa"/>
            <w:left w:w="0" w:type="dxa"/>
            <w:bottom w:w="0" w:type="dxa"/>
            <w:right w:w="0" w:type="dxa"/>
          </w:tblCellMar>
        </w:tblPrEx>
        <w:trPr>
          <w:trHeight w:val="492" w:hRule="atLeast"/>
          <w:jc w:val="center"/>
        </w:trPr>
        <w:tc>
          <w:tcPr>
            <w:tcW w:w="1494" w:type="dxa"/>
            <w:tcBorders>
              <w:top w:val="nil"/>
              <w:left w:val="single" w:color="auto" w:sz="4" w:space="0"/>
              <w:bottom w:val="single" w:color="auto" w:sz="4" w:space="0"/>
              <w:right w:val="single" w:color="auto" w:sz="4" w:space="0"/>
            </w:tcBorders>
            <w:noWrap w:val="0"/>
            <w:tcMar>
              <w:top w:w="0" w:type="dxa"/>
              <w:left w:w="64" w:type="dxa"/>
              <w:bottom w:w="0" w:type="dxa"/>
              <w:right w:w="64" w:type="dxa"/>
            </w:tcMar>
            <w:vAlign w:val="center"/>
          </w:tcPr>
          <w:p w14:paraId="74025891">
            <w:pPr>
              <w:widowControl/>
              <w:spacing w:line="191" w:lineRule="atLeast"/>
              <w:jc w:val="center"/>
              <w:textAlignment w:val="baseline"/>
              <w:rPr>
                <w:rFonts w:eastAsia="仿宋_GB2312"/>
                <w:kern w:val="0"/>
                <w:szCs w:val="21"/>
              </w:rPr>
            </w:pPr>
            <w:r>
              <w:rPr>
                <w:rFonts w:eastAsia="仿宋_GB2312"/>
                <w:kern w:val="0"/>
                <w:szCs w:val="21"/>
                <w:shd w:val="clear" w:color="auto" w:fill="FFFFFF"/>
              </w:rPr>
              <w:t>住宿餐饮业</w:t>
            </w:r>
          </w:p>
        </w:tc>
        <w:tc>
          <w:tcPr>
            <w:tcW w:w="1839"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0F0CF315">
            <w:pPr>
              <w:widowControl/>
              <w:spacing w:line="191" w:lineRule="atLeast"/>
              <w:textAlignment w:val="baseline"/>
              <w:rPr>
                <w:rFonts w:eastAsia="仿宋_GB2312"/>
                <w:kern w:val="0"/>
                <w:szCs w:val="21"/>
              </w:rPr>
            </w:pPr>
            <w:r>
              <w:rPr>
                <w:rFonts w:eastAsia="仿宋_GB2312"/>
                <w:kern w:val="0"/>
                <w:szCs w:val="21"/>
                <w:shd w:val="clear" w:color="auto" w:fill="FFFFFF"/>
              </w:rPr>
              <w:t>营业额</w:t>
            </w:r>
          </w:p>
          <w:p w14:paraId="39A858AB">
            <w:pPr>
              <w:widowControl/>
              <w:spacing w:line="191" w:lineRule="atLeast"/>
              <w:textAlignment w:val="baseline"/>
              <w:rPr>
                <w:rFonts w:eastAsia="仿宋_GB2312"/>
                <w:kern w:val="0"/>
                <w:szCs w:val="21"/>
              </w:rPr>
            </w:pPr>
            <w:r>
              <w:rPr>
                <w:rFonts w:eastAsia="仿宋_GB2312"/>
                <w:kern w:val="0"/>
                <w:szCs w:val="21"/>
                <w:shd w:val="clear" w:color="auto" w:fill="FFFFFF"/>
              </w:rPr>
              <w:t>营业收入</w:t>
            </w:r>
          </w:p>
        </w:tc>
        <w:tc>
          <w:tcPr>
            <w:tcW w:w="7006"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363502CE">
            <w:pPr>
              <w:widowControl/>
              <w:spacing w:line="191" w:lineRule="atLeast"/>
              <w:jc w:val="left"/>
              <w:textAlignment w:val="baseline"/>
              <w:rPr>
                <w:rFonts w:eastAsia="仿宋_GB2312"/>
                <w:kern w:val="0"/>
                <w:szCs w:val="21"/>
              </w:rPr>
            </w:pPr>
            <w:r>
              <w:rPr>
                <w:rFonts w:eastAsia="仿宋_GB2312"/>
                <w:kern w:val="0"/>
                <w:szCs w:val="21"/>
              </w:rPr>
              <w:t>违法数额比例小于5%且违法数额在1000万元以下；违法数额在300万元以下。</w:t>
            </w:r>
          </w:p>
        </w:tc>
      </w:tr>
      <w:tr w14:paraId="7C4E0C27">
        <w:tblPrEx>
          <w:tblCellMar>
            <w:top w:w="0" w:type="dxa"/>
            <w:left w:w="0" w:type="dxa"/>
            <w:bottom w:w="0" w:type="dxa"/>
            <w:right w:w="0" w:type="dxa"/>
          </w:tblCellMar>
        </w:tblPrEx>
        <w:trPr>
          <w:trHeight w:val="492" w:hRule="atLeast"/>
          <w:jc w:val="center"/>
        </w:trPr>
        <w:tc>
          <w:tcPr>
            <w:tcW w:w="1494" w:type="dxa"/>
            <w:tcBorders>
              <w:top w:val="nil"/>
              <w:left w:val="single" w:color="auto" w:sz="4" w:space="0"/>
              <w:bottom w:val="single" w:color="auto" w:sz="4" w:space="0"/>
              <w:right w:val="single" w:color="auto" w:sz="4" w:space="0"/>
            </w:tcBorders>
            <w:noWrap w:val="0"/>
            <w:tcMar>
              <w:top w:w="0" w:type="dxa"/>
              <w:left w:w="64" w:type="dxa"/>
              <w:bottom w:w="0" w:type="dxa"/>
              <w:right w:w="64" w:type="dxa"/>
            </w:tcMar>
            <w:vAlign w:val="center"/>
          </w:tcPr>
          <w:p w14:paraId="75F603BF">
            <w:pPr>
              <w:widowControl/>
              <w:spacing w:line="191" w:lineRule="atLeast"/>
              <w:jc w:val="center"/>
              <w:textAlignment w:val="baseline"/>
              <w:rPr>
                <w:rFonts w:eastAsia="仿宋_GB2312"/>
                <w:kern w:val="0"/>
                <w:szCs w:val="21"/>
              </w:rPr>
            </w:pPr>
            <w:r>
              <w:rPr>
                <w:rFonts w:eastAsia="仿宋_GB2312"/>
                <w:kern w:val="0"/>
                <w:szCs w:val="21"/>
                <w:shd w:val="clear" w:color="auto" w:fill="FFFFFF"/>
              </w:rPr>
              <w:t>建筑业</w:t>
            </w:r>
          </w:p>
        </w:tc>
        <w:tc>
          <w:tcPr>
            <w:tcW w:w="1839"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1D61850B">
            <w:pPr>
              <w:widowControl/>
              <w:spacing w:line="191" w:lineRule="atLeast"/>
              <w:textAlignment w:val="baseline"/>
              <w:rPr>
                <w:rFonts w:eastAsia="仿宋_GB2312"/>
                <w:kern w:val="0"/>
                <w:szCs w:val="21"/>
                <w:shd w:val="clear" w:color="auto" w:fill="FFFFFF"/>
              </w:rPr>
            </w:pPr>
            <w:r>
              <w:rPr>
                <w:rFonts w:eastAsia="仿宋_GB2312"/>
                <w:kern w:val="0"/>
                <w:szCs w:val="21"/>
                <w:shd w:val="clear" w:color="auto" w:fill="FFFFFF"/>
              </w:rPr>
              <w:t>建筑业总产值</w:t>
            </w:r>
          </w:p>
          <w:p w14:paraId="5C96BB69">
            <w:pPr>
              <w:widowControl/>
              <w:spacing w:line="191" w:lineRule="atLeast"/>
              <w:textAlignment w:val="baseline"/>
              <w:rPr>
                <w:rFonts w:eastAsia="仿宋_GB2312"/>
                <w:kern w:val="0"/>
                <w:szCs w:val="21"/>
                <w:shd w:val="clear" w:color="auto" w:fill="FFFFFF"/>
              </w:rPr>
            </w:pPr>
            <w:r>
              <w:rPr>
                <w:rFonts w:eastAsia="仿宋_GB2312"/>
                <w:kern w:val="0"/>
                <w:szCs w:val="21"/>
                <w:shd w:val="clear" w:color="auto" w:fill="FFFFFF"/>
              </w:rPr>
              <w:t>营业收入</w:t>
            </w:r>
          </w:p>
        </w:tc>
        <w:tc>
          <w:tcPr>
            <w:tcW w:w="7006"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5B794783">
            <w:pPr>
              <w:widowControl/>
              <w:spacing w:line="191" w:lineRule="atLeast"/>
              <w:jc w:val="left"/>
              <w:textAlignment w:val="baseline"/>
              <w:rPr>
                <w:rFonts w:eastAsia="仿宋_GB2312"/>
                <w:kern w:val="0"/>
                <w:szCs w:val="21"/>
              </w:rPr>
            </w:pPr>
            <w:r>
              <w:rPr>
                <w:rFonts w:eastAsia="仿宋_GB2312"/>
                <w:kern w:val="0"/>
                <w:szCs w:val="21"/>
              </w:rPr>
              <w:t>违法数额比例小于5%且违法数额在2000万元以下；违法数额在500万元以下。</w:t>
            </w:r>
          </w:p>
        </w:tc>
      </w:tr>
      <w:tr w14:paraId="41D9194C">
        <w:tblPrEx>
          <w:tblCellMar>
            <w:top w:w="0" w:type="dxa"/>
            <w:left w:w="0" w:type="dxa"/>
            <w:bottom w:w="0" w:type="dxa"/>
            <w:right w:w="0" w:type="dxa"/>
          </w:tblCellMar>
        </w:tblPrEx>
        <w:trPr>
          <w:trHeight w:val="457" w:hRule="atLeast"/>
          <w:jc w:val="center"/>
        </w:trPr>
        <w:tc>
          <w:tcPr>
            <w:tcW w:w="1494" w:type="dxa"/>
            <w:vMerge w:val="restart"/>
            <w:tcBorders>
              <w:top w:val="nil"/>
              <w:left w:val="single" w:color="auto" w:sz="4" w:space="0"/>
              <w:right w:val="single" w:color="auto" w:sz="4" w:space="0"/>
            </w:tcBorders>
            <w:noWrap w:val="0"/>
            <w:tcMar>
              <w:top w:w="0" w:type="dxa"/>
              <w:left w:w="64" w:type="dxa"/>
              <w:bottom w:w="0" w:type="dxa"/>
              <w:right w:w="64" w:type="dxa"/>
            </w:tcMar>
            <w:vAlign w:val="center"/>
          </w:tcPr>
          <w:p w14:paraId="0FCEBFC2">
            <w:pPr>
              <w:widowControl/>
              <w:spacing w:line="191" w:lineRule="atLeast"/>
              <w:jc w:val="center"/>
              <w:textAlignment w:val="baseline"/>
              <w:rPr>
                <w:rFonts w:eastAsia="仿宋_GB2312"/>
                <w:kern w:val="0"/>
                <w:szCs w:val="21"/>
              </w:rPr>
            </w:pPr>
            <w:r>
              <w:rPr>
                <w:rFonts w:eastAsia="仿宋_GB2312"/>
                <w:kern w:val="0"/>
                <w:szCs w:val="21"/>
                <w:shd w:val="clear" w:color="auto" w:fill="FFFFFF"/>
              </w:rPr>
              <w:t>房地产业</w:t>
            </w:r>
          </w:p>
        </w:tc>
        <w:tc>
          <w:tcPr>
            <w:tcW w:w="1839"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0CF82443">
            <w:r>
              <w:rPr>
                <w:rFonts w:eastAsia="仿宋_GB2312"/>
                <w:kern w:val="0"/>
                <w:szCs w:val="21"/>
                <w:shd w:val="clear" w:color="auto" w:fill="FFFFFF"/>
              </w:rPr>
              <w:t>商品房销售面积</w:t>
            </w:r>
          </w:p>
          <w:p w14:paraId="01E06BD9">
            <w:pPr>
              <w:widowControl/>
              <w:spacing w:line="191" w:lineRule="atLeast"/>
              <w:textAlignment w:val="baseline"/>
              <w:rPr>
                <w:rFonts w:eastAsia="仿宋_GB2312"/>
                <w:kern w:val="0"/>
                <w:szCs w:val="21"/>
                <w:shd w:val="clear" w:color="auto" w:fill="FFFFFF"/>
              </w:rPr>
            </w:pPr>
          </w:p>
        </w:tc>
        <w:tc>
          <w:tcPr>
            <w:tcW w:w="7006"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34877935">
            <w:r>
              <w:rPr>
                <w:rFonts w:eastAsia="仿宋_GB2312"/>
                <w:kern w:val="0"/>
                <w:szCs w:val="21"/>
              </w:rPr>
              <w:t>违法数量比例小于5%且违法数量在1000平方米以下；违法数量在300平方米以下。</w:t>
            </w:r>
          </w:p>
          <w:p w14:paraId="5B961822">
            <w:pPr>
              <w:widowControl/>
              <w:spacing w:line="191" w:lineRule="atLeast"/>
              <w:jc w:val="left"/>
              <w:textAlignment w:val="baseline"/>
              <w:rPr>
                <w:rFonts w:eastAsia="仿宋_GB2312"/>
                <w:kern w:val="0"/>
                <w:szCs w:val="21"/>
              </w:rPr>
            </w:pPr>
          </w:p>
        </w:tc>
      </w:tr>
      <w:tr w14:paraId="5960D73B">
        <w:tblPrEx>
          <w:tblCellMar>
            <w:top w:w="0" w:type="dxa"/>
            <w:left w:w="0" w:type="dxa"/>
            <w:bottom w:w="0" w:type="dxa"/>
            <w:right w:w="0" w:type="dxa"/>
          </w:tblCellMar>
        </w:tblPrEx>
        <w:trPr>
          <w:trHeight w:val="489" w:hRule="atLeast"/>
          <w:jc w:val="center"/>
        </w:trPr>
        <w:tc>
          <w:tcPr>
            <w:tcW w:w="1494" w:type="dxa"/>
            <w:vMerge w:val="continue"/>
            <w:tcBorders>
              <w:left w:val="single" w:color="auto" w:sz="4" w:space="0"/>
              <w:bottom w:val="single" w:color="auto" w:sz="4" w:space="0"/>
              <w:right w:val="single" w:color="auto" w:sz="4" w:space="0"/>
            </w:tcBorders>
            <w:noWrap w:val="0"/>
            <w:tcMar>
              <w:top w:w="0" w:type="dxa"/>
              <w:left w:w="64" w:type="dxa"/>
              <w:bottom w:w="0" w:type="dxa"/>
              <w:right w:w="64" w:type="dxa"/>
            </w:tcMar>
            <w:vAlign w:val="center"/>
          </w:tcPr>
          <w:p w14:paraId="512E7F58">
            <w:pPr>
              <w:widowControl/>
              <w:spacing w:line="191" w:lineRule="atLeast"/>
              <w:jc w:val="center"/>
              <w:textAlignment w:val="baseline"/>
              <w:rPr>
                <w:rFonts w:eastAsia="仿宋_GB2312"/>
                <w:kern w:val="0"/>
                <w:szCs w:val="21"/>
                <w:shd w:val="clear" w:color="auto" w:fill="FFFFFF"/>
              </w:rPr>
            </w:pPr>
          </w:p>
        </w:tc>
        <w:tc>
          <w:tcPr>
            <w:tcW w:w="1839" w:type="dxa"/>
            <w:tcBorders>
              <w:top w:val="single" w:color="auto" w:sz="4" w:space="0"/>
              <w:left w:val="nil"/>
              <w:bottom w:val="single" w:color="auto" w:sz="4" w:space="0"/>
              <w:right w:val="single" w:color="auto" w:sz="4" w:space="0"/>
            </w:tcBorders>
            <w:noWrap w:val="0"/>
            <w:tcMar>
              <w:top w:w="0" w:type="dxa"/>
              <w:left w:w="64" w:type="dxa"/>
              <w:bottom w:w="0" w:type="dxa"/>
              <w:right w:w="64" w:type="dxa"/>
            </w:tcMar>
            <w:vAlign w:val="center"/>
          </w:tcPr>
          <w:p w14:paraId="71AA5ED1">
            <w:pPr>
              <w:widowControl/>
              <w:spacing w:line="191" w:lineRule="atLeast"/>
              <w:textAlignment w:val="baseline"/>
              <w:rPr>
                <w:rFonts w:eastAsia="仿宋_GB2312"/>
                <w:kern w:val="0"/>
                <w:szCs w:val="21"/>
                <w:shd w:val="clear" w:color="auto" w:fill="FFFFFF"/>
              </w:rPr>
            </w:pPr>
            <w:r>
              <w:rPr>
                <w:rFonts w:eastAsia="仿宋_GB2312"/>
                <w:kern w:val="0"/>
                <w:szCs w:val="21"/>
                <w:shd w:val="clear" w:color="auto" w:fill="FFFFFF"/>
              </w:rPr>
              <w:t>营业收入</w:t>
            </w:r>
          </w:p>
        </w:tc>
        <w:tc>
          <w:tcPr>
            <w:tcW w:w="7006" w:type="dxa"/>
            <w:tcBorders>
              <w:top w:val="single" w:color="auto" w:sz="4" w:space="0"/>
              <w:left w:val="nil"/>
              <w:bottom w:val="single" w:color="auto" w:sz="4" w:space="0"/>
              <w:right w:val="single" w:color="auto" w:sz="4" w:space="0"/>
            </w:tcBorders>
            <w:noWrap w:val="0"/>
            <w:tcMar>
              <w:top w:w="0" w:type="dxa"/>
              <w:left w:w="64" w:type="dxa"/>
              <w:bottom w:w="0" w:type="dxa"/>
              <w:right w:w="64" w:type="dxa"/>
            </w:tcMar>
            <w:vAlign w:val="center"/>
          </w:tcPr>
          <w:p w14:paraId="537EB7B7">
            <w:pPr>
              <w:widowControl/>
              <w:spacing w:line="191" w:lineRule="atLeast"/>
              <w:jc w:val="left"/>
              <w:textAlignment w:val="baseline"/>
              <w:rPr>
                <w:rFonts w:eastAsia="仿宋_GB2312"/>
                <w:kern w:val="0"/>
                <w:szCs w:val="21"/>
              </w:rPr>
            </w:pPr>
            <w:r>
              <w:rPr>
                <w:rFonts w:eastAsia="仿宋_GB2312"/>
                <w:kern w:val="0"/>
                <w:szCs w:val="21"/>
              </w:rPr>
              <w:t>违法数额比例小于5%且违法数额在5000万元以下；违法数额在1000万元以下。</w:t>
            </w:r>
          </w:p>
        </w:tc>
      </w:tr>
      <w:tr w14:paraId="4CC068C2">
        <w:tblPrEx>
          <w:tblCellMar>
            <w:top w:w="0" w:type="dxa"/>
            <w:left w:w="0" w:type="dxa"/>
            <w:bottom w:w="0" w:type="dxa"/>
            <w:right w:w="0" w:type="dxa"/>
          </w:tblCellMar>
        </w:tblPrEx>
        <w:trPr>
          <w:trHeight w:val="395" w:hRule="atLeast"/>
          <w:jc w:val="center"/>
        </w:trPr>
        <w:tc>
          <w:tcPr>
            <w:tcW w:w="1494" w:type="dxa"/>
            <w:vMerge w:val="restart"/>
            <w:tcBorders>
              <w:top w:val="nil"/>
              <w:left w:val="single" w:color="auto" w:sz="4" w:space="0"/>
              <w:bottom w:val="single" w:color="auto" w:sz="4" w:space="0"/>
              <w:right w:val="single" w:color="auto" w:sz="4" w:space="0"/>
            </w:tcBorders>
            <w:noWrap w:val="0"/>
            <w:tcMar>
              <w:top w:w="0" w:type="dxa"/>
              <w:left w:w="64" w:type="dxa"/>
              <w:bottom w:w="0" w:type="dxa"/>
              <w:right w:w="64" w:type="dxa"/>
            </w:tcMar>
            <w:vAlign w:val="center"/>
          </w:tcPr>
          <w:p w14:paraId="1824FF3A">
            <w:pPr>
              <w:widowControl/>
              <w:spacing w:line="191" w:lineRule="atLeast"/>
              <w:jc w:val="center"/>
              <w:textAlignment w:val="baseline"/>
              <w:rPr>
                <w:rFonts w:eastAsia="仿宋_GB2312"/>
                <w:kern w:val="0"/>
                <w:szCs w:val="21"/>
              </w:rPr>
            </w:pPr>
            <w:r>
              <w:rPr>
                <w:rFonts w:eastAsia="仿宋_GB2312"/>
                <w:kern w:val="0"/>
                <w:szCs w:val="21"/>
                <w:shd w:val="clear" w:color="auto" w:fill="FFFFFF"/>
              </w:rPr>
              <w:t>服务业</w:t>
            </w:r>
          </w:p>
        </w:tc>
        <w:tc>
          <w:tcPr>
            <w:tcW w:w="1839"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6B7912D4">
            <w:pPr>
              <w:widowControl/>
              <w:spacing w:line="191" w:lineRule="atLeast"/>
              <w:textAlignment w:val="baseline"/>
              <w:rPr>
                <w:rFonts w:eastAsia="仿宋_GB2312"/>
                <w:kern w:val="0"/>
                <w:szCs w:val="21"/>
              </w:rPr>
            </w:pPr>
            <w:r>
              <w:rPr>
                <w:rFonts w:eastAsia="仿宋_GB2312"/>
                <w:kern w:val="0"/>
                <w:szCs w:val="21"/>
                <w:shd w:val="clear" w:color="auto" w:fill="FFFFFF"/>
              </w:rPr>
              <w:t>营业收入</w:t>
            </w:r>
          </w:p>
        </w:tc>
        <w:tc>
          <w:tcPr>
            <w:tcW w:w="7006"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29D3EC6A">
            <w:pPr>
              <w:widowControl/>
              <w:spacing w:line="191" w:lineRule="atLeast"/>
              <w:jc w:val="left"/>
              <w:textAlignment w:val="baseline"/>
              <w:rPr>
                <w:rFonts w:eastAsia="仿宋_GB2312"/>
                <w:kern w:val="0"/>
                <w:szCs w:val="21"/>
              </w:rPr>
            </w:pPr>
            <w:r>
              <w:rPr>
                <w:rFonts w:eastAsia="仿宋_GB2312"/>
                <w:kern w:val="0"/>
                <w:szCs w:val="21"/>
              </w:rPr>
              <w:t>违法数额比例小于5%且违法数额在5000万元以下；违法数额在1000万元以下。</w:t>
            </w:r>
          </w:p>
        </w:tc>
      </w:tr>
      <w:tr w14:paraId="7A7ACD0A">
        <w:tblPrEx>
          <w:tblCellMar>
            <w:top w:w="0" w:type="dxa"/>
            <w:left w:w="0" w:type="dxa"/>
            <w:bottom w:w="0" w:type="dxa"/>
            <w:right w:w="0" w:type="dxa"/>
          </w:tblCellMar>
        </w:tblPrEx>
        <w:trPr>
          <w:trHeight w:val="447" w:hRule="atLeast"/>
          <w:jc w:val="center"/>
        </w:trPr>
        <w:tc>
          <w:tcPr>
            <w:tcW w:w="1494" w:type="dxa"/>
            <w:vMerge w:val="continue"/>
            <w:tcBorders>
              <w:top w:val="nil"/>
              <w:left w:val="single" w:color="auto" w:sz="4" w:space="0"/>
              <w:bottom w:val="single" w:color="auto" w:sz="4" w:space="0"/>
              <w:right w:val="single" w:color="auto" w:sz="4" w:space="0"/>
            </w:tcBorders>
            <w:noWrap w:val="0"/>
            <w:vAlign w:val="center"/>
          </w:tcPr>
          <w:p w14:paraId="1CF87692">
            <w:pPr>
              <w:widowControl/>
              <w:jc w:val="left"/>
              <w:rPr>
                <w:rFonts w:eastAsia="仿宋_GB2312"/>
                <w:kern w:val="0"/>
                <w:szCs w:val="21"/>
              </w:rPr>
            </w:pPr>
          </w:p>
        </w:tc>
        <w:tc>
          <w:tcPr>
            <w:tcW w:w="1839"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3322E4CD">
            <w:pPr>
              <w:widowControl/>
              <w:spacing w:line="191" w:lineRule="atLeast"/>
              <w:textAlignment w:val="baseline"/>
              <w:rPr>
                <w:rFonts w:eastAsia="仿宋_GB2312"/>
                <w:kern w:val="0"/>
                <w:szCs w:val="21"/>
                <w:shd w:val="clear" w:color="auto" w:fill="FFFFFF"/>
              </w:rPr>
            </w:pPr>
            <w:r>
              <w:rPr>
                <w:rFonts w:eastAsia="仿宋_GB2312"/>
                <w:kern w:val="0"/>
                <w:szCs w:val="21"/>
                <w:shd w:val="clear" w:color="auto" w:fill="FFFFFF"/>
              </w:rPr>
              <w:t>营业利润</w:t>
            </w:r>
          </w:p>
          <w:p w14:paraId="19553748">
            <w:pPr>
              <w:widowControl/>
              <w:spacing w:line="191" w:lineRule="atLeast"/>
              <w:textAlignment w:val="baseline"/>
              <w:rPr>
                <w:rFonts w:eastAsia="仿宋_GB2312"/>
                <w:kern w:val="0"/>
                <w:szCs w:val="21"/>
                <w:shd w:val="clear" w:color="auto" w:fill="FFFFFF"/>
              </w:rPr>
            </w:pPr>
            <w:r>
              <w:rPr>
                <w:rStyle w:val="4"/>
                <w:rFonts w:hint="default" w:ascii="Times New Roman" w:hAnsi="Times New Roman" w:cs="Times New Roman"/>
                <w:color w:val="auto"/>
                <w:lang w:bidi="ar"/>
              </w:rPr>
              <w:t>本年折旧</w:t>
            </w:r>
          </w:p>
        </w:tc>
        <w:tc>
          <w:tcPr>
            <w:tcW w:w="7006"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2DBBF36B">
            <w:pPr>
              <w:widowControl/>
              <w:spacing w:line="191" w:lineRule="atLeast"/>
              <w:jc w:val="left"/>
              <w:textAlignment w:val="baseline"/>
              <w:rPr>
                <w:rFonts w:eastAsia="仿宋_GB2312"/>
                <w:kern w:val="0"/>
                <w:szCs w:val="21"/>
              </w:rPr>
            </w:pPr>
            <w:r>
              <w:rPr>
                <w:rFonts w:eastAsia="仿宋_GB2312"/>
                <w:kern w:val="0"/>
                <w:szCs w:val="21"/>
              </w:rPr>
              <w:t>违法数额比例小于5%且违法数额在1000万元以下；违法数额在300万元以下。</w:t>
            </w:r>
          </w:p>
        </w:tc>
      </w:tr>
      <w:tr w14:paraId="5CA2FDBC">
        <w:tblPrEx>
          <w:tblCellMar>
            <w:top w:w="0" w:type="dxa"/>
            <w:left w:w="0" w:type="dxa"/>
            <w:bottom w:w="0" w:type="dxa"/>
            <w:right w:w="0" w:type="dxa"/>
          </w:tblCellMar>
        </w:tblPrEx>
        <w:trPr>
          <w:trHeight w:val="761" w:hRule="atLeast"/>
          <w:jc w:val="center"/>
        </w:trPr>
        <w:tc>
          <w:tcPr>
            <w:tcW w:w="1494" w:type="dxa"/>
            <w:vMerge w:val="restart"/>
            <w:tcBorders>
              <w:top w:val="nil"/>
              <w:left w:val="single" w:color="auto" w:sz="4" w:space="0"/>
              <w:bottom w:val="single" w:color="auto" w:sz="4" w:space="0"/>
              <w:right w:val="single" w:color="auto" w:sz="4" w:space="0"/>
            </w:tcBorders>
            <w:noWrap w:val="0"/>
            <w:tcMar>
              <w:top w:w="0" w:type="dxa"/>
              <w:left w:w="64" w:type="dxa"/>
              <w:bottom w:w="0" w:type="dxa"/>
              <w:right w:w="64" w:type="dxa"/>
            </w:tcMar>
            <w:vAlign w:val="center"/>
          </w:tcPr>
          <w:p w14:paraId="41904051">
            <w:pPr>
              <w:widowControl/>
              <w:spacing w:line="191" w:lineRule="atLeast"/>
              <w:jc w:val="center"/>
              <w:textAlignment w:val="baseline"/>
              <w:rPr>
                <w:rFonts w:eastAsia="仿宋_GB2312"/>
                <w:kern w:val="0"/>
                <w:szCs w:val="21"/>
              </w:rPr>
            </w:pPr>
            <w:r>
              <w:rPr>
                <w:rFonts w:eastAsia="仿宋_GB2312"/>
                <w:kern w:val="0"/>
                <w:szCs w:val="21"/>
                <w:shd w:val="clear" w:color="auto" w:fill="FFFFFF"/>
              </w:rPr>
              <w:t>能源</w:t>
            </w:r>
          </w:p>
        </w:tc>
        <w:tc>
          <w:tcPr>
            <w:tcW w:w="1839"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69375247">
            <w:pPr>
              <w:widowControl/>
              <w:spacing w:line="191" w:lineRule="atLeast"/>
              <w:textAlignment w:val="baseline"/>
              <w:rPr>
                <w:rFonts w:eastAsia="仿宋_GB2312"/>
                <w:kern w:val="0"/>
                <w:szCs w:val="21"/>
              </w:rPr>
            </w:pPr>
            <w:r>
              <w:rPr>
                <w:rFonts w:eastAsia="仿宋_GB2312"/>
                <w:kern w:val="0"/>
                <w:szCs w:val="21"/>
              </w:rPr>
              <w:t>综合能源消费量</w:t>
            </w:r>
          </w:p>
          <w:p w14:paraId="7844267A">
            <w:pPr>
              <w:widowControl/>
              <w:spacing w:line="219" w:lineRule="atLeast"/>
              <w:textAlignment w:val="baseline"/>
              <w:rPr>
                <w:rFonts w:eastAsia="仿宋_GB2312"/>
                <w:kern w:val="0"/>
                <w:szCs w:val="21"/>
              </w:rPr>
            </w:pPr>
            <w:r>
              <w:rPr>
                <w:rFonts w:eastAsia="仿宋_GB2312"/>
                <w:kern w:val="0"/>
                <w:szCs w:val="21"/>
                <w:shd w:val="clear" w:color="auto" w:fill="FFFFFF"/>
              </w:rPr>
              <w:t>用于原材料消费量</w:t>
            </w:r>
          </w:p>
        </w:tc>
        <w:tc>
          <w:tcPr>
            <w:tcW w:w="7006"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54029AA2">
            <w:pPr>
              <w:widowControl/>
              <w:spacing w:line="191" w:lineRule="atLeast"/>
              <w:jc w:val="left"/>
              <w:textAlignment w:val="baseline"/>
              <w:rPr>
                <w:rFonts w:eastAsia="仿宋_GB2312"/>
                <w:kern w:val="0"/>
                <w:szCs w:val="21"/>
              </w:rPr>
            </w:pPr>
            <w:r>
              <w:rPr>
                <w:rFonts w:eastAsia="仿宋_GB2312"/>
                <w:kern w:val="0"/>
                <w:szCs w:val="21"/>
              </w:rPr>
              <w:t>违法数量比例小于10%且违法数量200吨标煤以下；违法数量在50吨标煤以下。</w:t>
            </w:r>
          </w:p>
        </w:tc>
      </w:tr>
      <w:tr w14:paraId="0A36E161">
        <w:tblPrEx>
          <w:tblCellMar>
            <w:top w:w="0" w:type="dxa"/>
            <w:left w:w="0" w:type="dxa"/>
            <w:bottom w:w="0" w:type="dxa"/>
            <w:right w:w="0" w:type="dxa"/>
          </w:tblCellMar>
        </w:tblPrEx>
        <w:trPr>
          <w:trHeight w:val="465" w:hRule="atLeast"/>
          <w:jc w:val="center"/>
        </w:trPr>
        <w:tc>
          <w:tcPr>
            <w:tcW w:w="1494" w:type="dxa"/>
            <w:vMerge w:val="restart"/>
            <w:tcBorders>
              <w:top w:val="nil"/>
              <w:left w:val="single" w:color="auto" w:sz="4" w:space="0"/>
              <w:bottom w:val="single" w:color="auto" w:sz="4" w:space="0"/>
              <w:right w:val="single" w:color="auto" w:sz="4" w:space="0"/>
            </w:tcBorders>
            <w:noWrap w:val="0"/>
            <w:tcMar>
              <w:top w:w="0" w:type="dxa"/>
              <w:left w:w="64" w:type="dxa"/>
              <w:bottom w:w="0" w:type="dxa"/>
              <w:right w:w="64" w:type="dxa"/>
            </w:tcMar>
            <w:vAlign w:val="center"/>
          </w:tcPr>
          <w:p w14:paraId="70FA51C7">
            <w:pPr>
              <w:widowControl/>
              <w:spacing w:line="219" w:lineRule="atLeast"/>
              <w:jc w:val="center"/>
              <w:textAlignment w:val="baseline"/>
              <w:rPr>
                <w:rFonts w:eastAsia="仿宋_GB2312"/>
                <w:kern w:val="0"/>
                <w:szCs w:val="21"/>
              </w:rPr>
            </w:pPr>
            <w:r>
              <w:rPr>
                <w:rFonts w:eastAsia="仿宋_GB2312"/>
                <w:kern w:val="0"/>
                <w:szCs w:val="21"/>
                <w:shd w:val="clear" w:color="auto" w:fill="FFFFFF"/>
              </w:rPr>
              <w:t>劳动工资</w:t>
            </w:r>
          </w:p>
        </w:tc>
        <w:tc>
          <w:tcPr>
            <w:tcW w:w="1839"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7EBD6467">
            <w:pPr>
              <w:widowControl/>
              <w:spacing w:line="219" w:lineRule="atLeast"/>
              <w:textAlignment w:val="baseline"/>
              <w:rPr>
                <w:rFonts w:eastAsia="仿宋_GB2312"/>
                <w:kern w:val="0"/>
                <w:szCs w:val="21"/>
              </w:rPr>
            </w:pPr>
            <w:r>
              <w:rPr>
                <w:rFonts w:eastAsia="仿宋_GB2312"/>
                <w:kern w:val="0"/>
                <w:szCs w:val="21"/>
                <w:shd w:val="clear" w:color="auto" w:fill="FFFFFF"/>
              </w:rPr>
              <w:t>从业人员期末人数</w:t>
            </w:r>
          </w:p>
        </w:tc>
        <w:tc>
          <w:tcPr>
            <w:tcW w:w="7006" w:type="dxa"/>
            <w:tcBorders>
              <w:top w:val="single" w:color="auto" w:sz="4" w:space="0"/>
              <w:left w:val="nil"/>
              <w:bottom w:val="single" w:color="auto" w:sz="4" w:space="0"/>
              <w:right w:val="single" w:color="auto" w:sz="4" w:space="0"/>
            </w:tcBorders>
            <w:noWrap w:val="0"/>
            <w:tcMar>
              <w:top w:w="0" w:type="dxa"/>
              <w:left w:w="64" w:type="dxa"/>
              <w:bottom w:w="0" w:type="dxa"/>
              <w:right w:w="64" w:type="dxa"/>
            </w:tcMar>
            <w:vAlign w:val="center"/>
          </w:tcPr>
          <w:p w14:paraId="17870B5C">
            <w:pPr>
              <w:widowControl/>
              <w:spacing w:line="219" w:lineRule="atLeast"/>
              <w:textAlignment w:val="baseline"/>
              <w:rPr>
                <w:rFonts w:eastAsia="仿宋_GB2312"/>
                <w:kern w:val="0"/>
                <w:szCs w:val="21"/>
              </w:rPr>
            </w:pPr>
            <w:r>
              <w:rPr>
                <w:rFonts w:eastAsia="仿宋_GB2312"/>
                <w:kern w:val="0"/>
                <w:szCs w:val="21"/>
              </w:rPr>
              <w:t>违法数量比例小于10%且差错人数在100人以下；差错人数在30人以下。</w:t>
            </w:r>
          </w:p>
        </w:tc>
      </w:tr>
      <w:tr w14:paraId="3FAF78CC">
        <w:tblPrEx>
          <w:tblCellMar>
            <w:top w:w="0" w:type="dxa"/>
            <w:left w:w="0" w:type="dxa"/>
            <w:bottom w:w="0" w:type="dxa"/>
            <w:right w:w="0" w:type="dxa"/>
          </w:tblCellMar>
        </w:tblPrEx>
        <w:trPr>
          <w:trHeight w:val="457" w:hRule="atLeast"/>
          <w:jc w:val="center"/>
        </w:trPr>
        <w:tc>
          <w:tcPr>
            <w:tcW w:w="1494" w:type="dxa"/>
            <w:vMerge w:val="continue"/>
            <w:tcBorders>
              <w:top w:val="nil"/>
              <w:left w:val="single" w:color="auto" w:sz="4" w:space="0"/>
              <w:bottom w:val="single" w:color="auto" w:sz="4" w:space="0"/>
              <w:right w:val="single" w:color="auto" w:sz="4" w:space="0"/>
            </w:tcBorders>
            <w:noWrap w:val="0"/>
            <w:vAlign w:val="center"/>
          </w:tcPr>
          <w:p w14:paraId="021FA906">
            <w:pPr>
              <w:widowControl/>
              <w:jc w:val="left"/>
              <w:rPr>
                <w:rFonts w:eastAsia="仿宋_GB2312"/>
                <w:kern w:val="0"/>
                <w:szCs w:val="21"/>
              </w:rPr>
            </w:pPr>
          </w:p>
        </w:tc>
        <w:tc>
          <w:tcPr>
            <w:tcW w:w="1839"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4E17354F">
            <w:pPr>
              <w:widowControl/>
              <w:spacing w:line="219" w:lineRule="atLeast"/>
              <w:textAlignment w:val="baseline"/>
              <w:rPr>
                <w:rFonts w:eastAsia="仿宋_GB2312"/>
                <w:kern w:val="0"/>
                <w:szCs w:val="21"/>
              </w:rPr>
            </w:pPr>
            <w:r>
              <w:rPr>
                <w:rFonts w:eastAsia="仿宋_GB2312"/>
                <w:kern w:val="0"/>
                <w:szCs w:val="21"/>
                <w:shd w:val="clear" w:color="auto" w:fill="FFFFFF"/>
              </w:rPr>
              <w:t>从业人员工资总额</w:t>
            </w:r>
          </w:p>
        </w:tc>
        <w:tc>
          <w:tcPr>
            <w:tcW w:w="7006"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18145B19">
            <w:pPr>
              <w:widowControl/>
              <w:spacing w:line="219" w:lineRule="atLeast"/>
              <w:textAlignment w:val="baseline"/>
              <w:rPr>
                <w:rFonts w:eastAsia="仿宋_GB2312"/>
                <w:kern w:val="0"/>
                <w:szCs w:val="21"/>
              </w:rPr>
            </w:pPr>
            <w:r>
              <w:rPr>
                <w:rFonts w:eastAsia="仿宋_GB2312"/>
                <w:kern w:val="0"/>
                <w:szCs w:val="21"/>
              </w:rPr>
              <w:t>一套表单位违法数额比例小于5%且违法数额在1000万元以下或者违法数额在300万元以下；非一套表单位违法数额在200万元以下。</w:t>
            </w:r>
          </w:p>
        </w:tc>
      </w:tr>
      <w:tr w14:paraId="7661E827">
        <w:tblPrEx>
          <w:tblCellMar>
            <w:top w:w="0" w:type="dxa"/>
            <w:left w:w="0" w:type="dxa"/>
            <w:bottom w:w="0" w:type="dxa"/>
            <w:right w:w="0" w:type="dxa"/>
          </w:tblCellMar>
        </w:tblPrEx>
        <w:trPr>
          <w:trHeight w:val="465" w:hRule="atLeast"/>
          <w:jc w:val="center"/>
        </w:trPr>
        <w:tc>
          <w:tcPr>
            <w:tcW w:w="1494" w:type="dxa"/>
            <w:vMerge w:val="restart"/>
            <w:tcBorders>
              <w:top w:val="nil"/>
              <w:left w:val="single" w:color="auto" w:sz="4" w:space="0"/>
              <w:bottom w:val="single" w:color="auto" w:sz="4" w:space="0"/>
              <w:right w:val="single" w:color="auto" w:sz="4" w:space="0"/>
            </w:tcBorders>
            <w:noWrap w:val="0"/>
            <w:tcMar>
              <w:top w:w="0" w:type="dxa"/>
              <w:left w:w="64" w:type="dxa"/>
              <w:bottom w:w="0" w:type="dxa"/>
              <w:right w:w="64" w:type="dxa"/>
            </w:tcMar>
            <w:vAlign w:val="center"/>
          </w:tcPr>
          <w:p w14:paraId="5BB339B9">
            <w:pPr>
              <w:widowControl/>
              <w:spacing w:line="219" w:lineRule="atLeast"/>
              <w:jc w:val="center"/>
              <w:textAlignment w:val="baseline"/>
              <w:rPr>
                <w:rFonts w:eastAsia="仿宋_GB2312"/>
                <w:kern w:val="0"/>
                <w:szCs w:val="21"/>
              </w:rPr>
            </w:pPr>
            <w:r>
              <w:rPr>
                <w:rFonts w:eastAsia="仿宋_GB2312"/>
                <w:kern w:val="0"/>
                <w:szCs w:val="21"/>
                <w:shd w:val="clear" w:color="auto" w:fill="FFFFFF"/>
              </w:rPr>
              <w:t>企业研发</w:t>
            </w:r>
          </w:p>
        </w:tc>
        <w:tc>
          <w:tcPr>
            <w:tcW w:w="1839"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24072429">
            <w:pPr>
              <w:widowControl/>
              <w:spacing w:line="219" w:lineRule="atLeast"/>
              <w:textAlignment w:val="baseline"/>
              <w:rPr>
                <w:rFonts w:eastAsia="仿宋_GB2312"/>
                <w:kern w:val="0"/>
                <w:szCs w:val="21"/>
              </w:rPr>
            </w:pPr>
            <w:r>
              <w:rPr>
                <w:rFonts w:eastAsia="仿宋_GB2312"/>
                <w:kern w:val="0"/>
                <w:szCs w:val="21"/>
                <w:shd w:val="clear" w:color="auto" w:fill="FFFFFF"/>
              </w:rPr>
              <w:t>研究开发人员合计</w:t>
            </w:r>
          </w:p>
        </w:tc>
        <w:tc>
          <w:tcPr>
            <w:tcW w:w="7006"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605FF520">
            <w:pPr>
              <w:widowControl/>
              <w:spacing w:line="219" w:lineRule="atLeast"/>
              <w:textAlignment w:val="baseline"/>
              <w:rPr>
                <w:rFonts w:eastAsia="仿宋_GB2312"/>
                <w:kern w:val="0"/>
                <w:szCs w:val="21"/>
              </w:rPr>
            </w:pPr>
            <w:r>
              <w:rPr>
                <w:rFonts w:eastAsia="仿宋_GB2312"/>
                <w:kern w:val="0"/>
                <w:szCs w:val="21"/>
              </w:rPr>
              <w:t>违法数量比例小于10%且差错人数在100人以下；违法数量在30人以下。</w:t>
            </w:r>
          </w:p>
        </w:tc>
      </w:tr>
      <w:tr w14:paraId="44F0244E">
        <w:tblPrEx>
          <w:tblCellMar>
            <w:top w:w="0" w:type="dxa"/>
            <w:left w:w="0" w:type="dxa"/>
            <w:bottom w:w="0" w:type="dxa"/>
            <w:right w:w="0" w:type="dxa"/>
          </w:tblCellMar>
        </w:tblPrEx>
        <w:trPr>
          <w:trHeight w:val="484" w:hRule="atLeast"/>
          <w:jc w:val="center"/>
        </w:trPr>
        <w:tc>
          <w:tcPr>
            <w:tcW w:w="1494" w:type="dxa"/>
            <w:vMerge w:val="continue"/>
            <w:tcBorders>
              <w:top w:val="nil"/>
              <w:left w:val="single" w:color="auto" w:sz="4" w:space="0"/>
              <w:bottom w:val="single" w:color="auto" w:sz="4" w:space="0"/>
              <w:right w:val="single" w:color="auto" w:sz="4" w:space="0"/>
            </w:tcBorders>
            <w:noWrap w:val="0"/>
            <w:vAlign w:val="center"/>
          </w:tcPr>
          <w:p w14:paraId="7C423B17">
            <w:pPr>
              <w:widowControl/>
              <w:jc w:val="left"/>
              <w:rPr>
                <w:rFonts w:eastAsia="仿宋_GB2312"/>
                <w:kern w:val="0"/>
                <w:szCs w:val="21"/>
              </w:rPr>
            </w:pPr>
          </w:p>
        </w:tc>
        <w:tc>
          <w:tcPr>
            <w:tcW w:w="1839"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2A21DCBF">
            <w:pPr>
              <w:widowControl/>
              <w:spacing w:line="219" w:lineRule="atLeast"/>
              <w:textAlignment w:val="baseline"/>
              <w:rPr>
                <w:rFonts w:eastAsia="仿宋_GB2312"/>
                <w:kern w:val="0"/>
                <w:szCs w:val="21"/>
              </w:rPr>
            </w:pPr>
            <w:r>
              <w:rPr>
                <w:rFonts w:eastAsia="仿宋_GB2312"/>
                <w:kern w:val="0"/>
                <w:szCs w:val="21"/>
                <w:shd w:val="clear" w:color="auto" w:fill="FFFFFF"/>
              </w:rPr>
              <w:t>研究开发费用合计</w:t>
            </w:r>
          </w:p>
        </w:tc>
        <w:tc>
          <w:tcPr>
            <w:tcW w:w="7006" w:type="dxa"/>
            <w:tcBorders>
              <w:top w:val="nil"/>
              <w:left w:val="nil"/>
              <w:bottom w:val="single" w:color="auto" w:sz="4" w:space="0"/>
              <w:right w:val="single" w:color="auto" w:sz="4" w:space="0"/>
            </w:tcBorders>
            <w:noWrap w:val="0"/>
            <w:tcMar>
              <w:top w:w="0" w:type="dxa"/>
              <w:left w:w="64" w:type="dxa"/>
              <w:bottom w:w="0" w:type="dxa"/>
              <w:right w:w="64" w:type="dxa"/>
            </w:tcMar>
            <w:vAlign w:val="center"/>
          </w:tcPr>
          <w:p w14:paraId="134CAB81">
            <w:pPr>
              <w:widowControl/>
              <w:spacing w:line="219" w:lineRule="atLeast"/>
              <w:jc w:val="left"/>
              <w:textAlignment w:val="baseline"/>
              <w:rPr>
                <w:rFonts w:eastAsia="仿宋_GB2312"/>
                <w:kern w:val="0"/>
                <w:szCs w:val="21"/>
              </w:rPr>
            </w:pPr>
            <w:r>
              <w:rPr>
                <w:rFonts w:eastAsia="仿宋_GB2312"/>
                <w:kern w:val="0"/>
                <w:szCs w:val="21"/>
              </w:rPr>
              <w:t>违法数额比例小于5%且违法数额在1000万元以下；违法数额在300万元以下。</w:t>
            </w:r>
          </w:p>
        </w:tc>
      </w:tr>
      <w:tr w14:paraId="348A1199">
        <w:tblPrEx>
          <w:tblCellMar>
            <w:top w:w="0" w:type="dxa"/>
            <w:left w:w="0" w:type="dxa"/>
            <w:bottom w:w="0" w:type="dxa"/>
            <w:right w:w="0" w:type="dxa"/>
          </w:tblCellMar>
        </w:tblPrEx>
        <w:trPr>
          <w:trHeight w:val="484" w:hRule="atLeast"/>
          <w:jc w:val="center"/>
        </w:trPr>
        <w:tc>
          <w:tcPr>
            <w:tcW w:w="1494" w:type="dxa"/>
            <w:vMerge w:val="restart"/>
            <w:tcBorders>
              <w:top w:val="single" w:color="auto" w:sz="4" w:space="0"/>
              <w:left w:val="single" w:color="auto" w:sz="4" w:space="0"/>
              <w:right w:val="single" w:color="auto" w:sz="4" w:space="0"/>
            </w:tcBorders>
            <w:noWrap w:val="0"/>
            <w:vAlign w:val="center"/>
          </w:tcPr>
          <w:p w14:paraId="1AC59020">
            <w:pPr>
              <w:widowControl/>
              <w:jc w:val="center"/>
              <w:rPr>
                <w:rFonts w:eastAsia="仿宋_GB2312"/>
                <w:kern w:val="0"/>
                <w:szCs w:val="21"/>
              </w:rPr>
            </w:pPr>
            <w:r>
              <w:rPr>
                <w:rFonts w:eastAsia="仿宋_GB2312"/>
                <w:kern w:val="0"/>
                <w:szCs w:val="21"/>
              </w:rPr>
              <w:t>全行业</w:t>
            </w:r>
          </w:p>
        </w:tc>
        <w:tc>
          <w:tcPr>
            <w:tcW w:w="1839" w:type="dxa"/>
            <w:tcBorders>
              <w:top w:val="single" w:color="auto" w:sz="4" w:space="0"/>
              <w:left w:val="nil"/>
              <w:bottom w:val="single" w:color="auto" w:sz="4" w:space="0"/>
              <w:right w:val="single" w:color="auto" w:sz="4" w:space="0"/>
            </w:tcBorders>
            <w:noWrap w:val="0"/>
            <w:tcMar>
              <w:top w:w="0" w:type="dxa"/>
              <w:left w:w="64" w:type="dxa"/>
              <w:bottom w:w="0" w:type="dxa"/>
              <w:right w:w="64" w:type="dxa"/>
            </w:tcMar>
            <w:vAlign w:val="center"/>
          </w:tcPr>
          <w:p w14:paraId="7EF7757C">
            <w:pPr>
              <w:widowControl/>
              <w:spacing w:line="219" w:lineRule="atLeast"/>
              <w:textAlignment w:val="baseline"/>
              <w:rPr>
                <w:rFonts w:eastAsia="仿宋_GB2312"/>
                <w:kern w:val="0"/>
                <w:szCs w:val="21"/>
                <w:shd w:val="clear" w:color="auto" w:fill="FFFFFF"/>
              </w:rPr>
            </w:pPr>
            <w:r>
              <w:rPr>
                <w:rFonts w:eastAsia="仿宋_GB2312"/>
                <w:kern w:val="0"/>
                <w:szCs w:val="21"/>
                <w:shd w:val="clear" w:color="auto" w:fill="FFFFFF"/>
              </w:rPr>
              <w:t>应付职工薪酬</w:t>
            </w:r>
          </w:p>
        </w:tc>
        <w:tc>
          <w:tcPr>
            <w:tcW w:w="7006" w:type="dxa"/>
            <w:tcBorders>
              <w:top w:val="single" w:color="auto" w:sz="4" w:space="0"/>
              <w:left w:val="nil"/>
              <w:bottom w:val="single" w:color="auto" w:sz="4" w:space="0"/>
              <w:right w:val="single" w:color="auto" w:sz="4" w:space="0"/>
            </w:tcBorders>
            <w:noWrap w:val="0"/>
            <w:tcMar>
              <w:top w:w="0" w:type="dxa"/>
              <w:left w:w="64" w:type="dxa"/>
              <w:bottom w:w="0" w:type="dxa"/>
              <w:right w:w="64" w:type="dxa"/>
            </w:tcMar>
            <w:vAlign w:val="center"/>
          </w:tcPr>
          <w:p w14:paraId="0AF6D220">
            <w:pPr>
              <w:widowControl/>
              <w:spacing w:line="219" w:lineRule="atLeast"/>
              <w:jc w:val="left"/>
              <w:textAlignment w:val="baseline"/>
              <w:rPr>
                <w:rFonts w:eastAsia="仿宋_GB2312"/>
                <w:kern w:val="0"/>
                <w:szCs w:val="21"/>
              </w:rPr>
            </w:pPr>
            <w:r>
              <w:rPr>
                <w:rFonts w:eastAsia="仿宋_GB2312"/>
                <w:kern w:val="0"/>
                <w:szCs w:val="21"/>
              </w:rPr>
              <w:t>违法数额比例小于5%且违法数额在1000万元以下；违法数额在300万元以下。</w:t>
            </w:r>
          </w:p>
        </w:tc>
      </w:tr>
      <w:tr w14:paraId="53A44163">
        <w:tblPrEx>
          <w:tblCellMar>
            <w:top w:w="0" w:type="dxa"/>
            <w:left w:w="0" w:type="dxa"/>
            <w:bottom w:w="0" w:type="dxa"/>
            <w:right w:w="0" w:type="dxa"/>
          </w:tblCellMar>
        </w:tblPrEx>
        <w:trPr>
          <w:trHeight w:val="484" w:hRule="atLeast"/>
          <w:jc w:val="center"/>
        </w:trPr>
        <w:tc>
          <w:tcPr>
            <w:tcW w:w="1494" w:type="dxa"/>
            <w:vMerge w:val="continue"/>
            <w:tcBorders>
              <w:left w:val="single" w:color="auto" w:sz="4" w:space="0"/>
              <w:right w:val="single" w:color="auto" w:sz="4" w:space="0"/>
            </w:tcBorders>
            <w:noWrap w:val="0"/>
            <w:vAlign w:val="center"/>
          </w:tcPr>
          <w:p w14:paraId="097FDB54">
            <w:pPr>
              <w:widowControl/>
              <w:jc w:val="left"/>
              <w:rPr>
                <w:rFonts w:eastAsia="仿宋_GB2312"/>
                <w:kern w:val="0"/>
                <w:szCs w:val="21"/>
              </w:rPr>
            </w:pPr>
          </w:p>
        </w:tc>
        <w:tc>
          <w:tcPr>
            <w:tcW w:w="1839" w:type="dxa"/>
            <w:tcBorders>
              <w:top w:val="single" w:color="auto" w:sz="4" w:space="0"/>
              <w:left w:val="nil"/>
              <w:bottom w:val="single" w:color="auto" w:sz="4" w:space="0"/>
              <w:right w:val="single" w:color="auto" w:sz="4" w:space="0"/>
            </w:tcBorders>
            <w:noWrap w:val="0"/>
            <w:tcMar>
              <w:top w:w="0" w:type="dxa"/>
              <w:left w:w="64" w:type="dxa"/>
              <w:bottom w:w="0" w:type="dxa"/>
              <w:right w:w="64" w:type="dxa"/>
            </w:tcMar>
            <w:vAlign w:val="center"/>
          </w:tcPr>
          <w:p w14:paraId="10EDE672">
            <w:pPr>
              <w:widowControl/>
              <w:spacing w:line="219" w:lineRule="atLeast"/>
              <w:textAlignment w:val="baseline"/>
              <w:rPr>
                <w:rFonts w:eastAsia="仿宋_GB2312"/>
                <w:kern w:val="0"/>
                <w:szCs w:val="21"/>
                <w:shd w:val="clear" w:color="auto" w:fill="FFFFFF"/>
              </w:rPr>
            </w:pPr>
            <w:r>
              <w:rPr>
                <w:rFonts w:eastAsia="仿宋_GB2312"/>
                <w:kern w:val="0"/>
                <w:szCs w:val="21"/>
                <w:shd w:val="clear" w:color="auto" w:fill="FFFFFF"/>
              </w:rPr>
              <w:t>应交增值税</w:t>
            </w:r>
          </w:p>
        </w:tc>
        <w:tc>
          <w:tcPr>
            <w:tcW w:w="7006" w:type="dxa"/>
            <w:tcBorders>
              <w:top w:val="single" w:color="auto" w:sz="4" w:space="0"/>
              <w:left w:val="nil"/>
              <w:bottom w:val="single" w:color="auto" w:sz="4" w:space="0"/>
              <w:right w:val="single" w:color="auto" w:sz="4" w:space="0"/>
            </w:tcBorders>
            <w:noWrap w:val="0"/>
            <w:tcMar>
              <w:top w:w="0" w:type="dxa"/>
              <w:left w:w="64" w:type="dxa"/>
              <w:bottom w:w="0" w:type="dxa"/>
              <w:right w:w="64" w:type="dxa"/>
            </w:tcMar>
            <w:vAlign w:val="center"/>
          </w:tcPr>
          <w:p w14:paraId="66CEEB5D">
            <w:pPr>
              <w:widowControl/>
              <w:spacing w:line="219" w:lineRule="atLeast"/>
              <w:jc w:val="left"/>
              <w:textAlignment w:val="baseline"/>
              <w:rPr>
                <w:rFonts w:eastAsia="仿宋_GB2312"/>
                <w:kern w:val="0"/>
                <w:szCs w:val="21"/>
              </w:rPr>
            </w:pPr>
            <w:r>
              <w:rPr>
                <w:rFonts w:eastAsia="仿宋_GB2312"/>
                <w:kern w:val="0"/>
                <w:szCs w:val="21"/>
              </w:rPr>
              <w:t>违法数额比例小于5%且违法数额在1000万元以下；违法数额在300万元以下。</w:t>
            </w:r>
          </w:p>
        </w:tc>
      </w:tr>
      <w:tr w14:paraId="42CACBEE">
        <w:tblPrEx>
          <w:tblCellMar>
            <w:top w:w="0" w:type="dxa"/>
            <w:left w:w="0" w:type="dxa"/>
            <w:bottom w:w="0" w:type="dxa"/>
            <w:right w:w="0" w:type="dxa"/>
          </w:tblCellMar>
        </w:tblPrEx>
        <w:trPr>
          <w:trHeight w:val="484" w:hRule="atLeast"/>
          <w:jc w:val="center"/>
        </w:trPr>
        <w:tc>
          <w:tcPr>
            <w:tcW w:w="1494" w:type="dxa"/>
            <w:vMerge w:val="continue"/>
            <w:tcBorders>
              <w:left w:val="single" w:color="auto" w:sz="4" w:space="0"/>
              <w:bottom w:val="single" w:color="auto" w:sz="4" w:space="0"/>
              <w:right w:val="single" w:color="auto" w:sz="4" w:space="0"/>
            </w:tcBorders>
            <w:noWrap w:val="0"/>
            <w:vAlign w:val="center"/>
          </w:tcPr>
          <w:p w14:paraId="4A79E4C2">
            <w:pPr>
              <w:widowControl/>
              <w:jc w:val="left"/>
              <w:rPr>
                <w:rFonts w:eastAsia="仿宋_GB2312"/>
                <w:kern w:val="0"/>
                <w:szCs w:val="21"/>
              </w:rPr>
            </w:pPr>
          </w:p>
        </w:tc>
        <w:tc>
          <w:tcPr>
            <w:tcW w:w="1839" w:type="dxa"/>
            <w:tcBorders>
              <w:top w:val="single" w:color="auto" w:sz="4" w:space="0"/>
              <w:left w:val="nil"/>
              <w:bottom w:val="single" w:color="auto" w:sz="4" w:space="0"/>
              <w:right w:val="single" w:color="auto" w:sz="4" w:space="0"/>
            </w:tcBorders>
            <w:noWrap w:val="0"/>
            <w:tcMar>
              <w:top w:w="0" w:type="dxa"/>
              <w:left w:w="64" w:type="dxa"/>
              <w:bottom w:w="0" w:type="dxa"/>
              <w:right w:w="64" w:type="dxa"/>
            </w:tcMar>
            <w:vAlign w:val="center"/>
          </w:tcPr>
          <w:p w14:paraId="52A432A9">
            <w:pPr>
              <w:widowControl/>
              <w:spacing w:line="219" w:lineRule="atLeast"/>
              <w:textAlignment w:val="baseline"/>
              <w:rPr>
                <w:rFonts w:eastAsia="仿宋_GB2312"/>
                <w:kern w:val="0"/>
                <w:szCs w:val="21"/>
                <w:shd w:val="clear" w:color="auto" w:fill="FFFFFF"/>
              </w:rPr>
            </w:pPr>
            <w:r>
              <w:rPr>
                <w:rFonts w:eastAsia="仿宋_GB2312"/>
                <w:kern w:val="0"/>
                <w:szCs w:val="21"/>
                <w:shd w:val="clear" w:color="auto" w:fill="FFFFFF"/>
              </w:rPr>
              <w:t>其他价值量指标</w:t>
            </w:r>
          </w:p>
        </w:tc>
        <w:tc>
          <w:tcPr>
            <w:tcW w:w="7006" w:type="dxa"/>
            <w:tcBorders>
              <w:top w:val="single" w:color="auto" w:sz="4" w:space="0"/>
              <w:left w:val="nil"/>
              <w:bottom w:val="single" w:color="auto" w:sz="4" w:space="0"/>
              <w:right w:val="single" w:color="auto" w:sz="4" w:space="0"/>
            </w:tcBorders>
            <w:noWrap w:val="0"/>
            <w:tcMar>
              <w:top w:w="0" w:type="dxa"/>
              <w:left w:w="64" w:type="dxa"/>
              <w:bottom w:w="0" w:type="dxa"/>
              <w:right w:w="64" w:type="dxa"/>
            </w:tcMar>
            <w:vAlign w:val="center"/>
          </w:tcPr>
          <w:p w14:paraId="26C4D1AC">
            <w:pPr>
              <w:widowControl/>
              <w:spacing w:line="219" w:lineRule="atLeast"/>
              <w:jc w:val="left"/>
              <w:textAlignment w:val="baseline"/>
              <w:rPr>
                <w:rFonts w:eastAsia="仿宋_GB2312"/>
                <w:kern w:val="0"/>
                <w:szCs w:val="21"/>
              </w:rPr>
            </w:pPr>
            <w:r>
              <w:rPr>
                <w:rFonts w:eastAsia="仿宋_GB2312"/>
                <w:kern w:val="0"/>
                <w:szCs w:val="21"/>
              </w:rPr>
              <w:t>违法数额比例小于5%且违法数额在5000万元以下。</w:t>
            </w:r>
          </w:p>
        </w:tc>
      </w:tr>
      <w:tr w14:paraId="09F76F68">
        <w:tblPrEx>
          <w:tblCellMar>
            <w:top w:w="0" w:type="dxa"/>
            <w:left w:w="0" w:type="dxa"/>
            <w:bottom w:w="0" w:type="dxa"/>
            <w:right w:w="0" w:type="dxa"/>
          </w:tblCellMar>
        </w:tblPrEx>
        <w:trPr>
          <w:trHeight w:val="484"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4CBA2557">
            <w:pPr>
              <w:widowControl/>
              <w:jc w:val="center"/>
              <w:rPr>
                <w:rFonts w:eastAsia="仿宋_GB2312"/>
                <w:kern w:val="0"/>
                <w:szCs w:val="21"/>
              </w:rPr>
            </w:pPr>
            <w:r>
              <w:rPr>
                <w:rFonts w:eastAsia="黑体"/>
                <w:kern w:val="0"/>
                <w:szCs w:val="21"/>
              </w:rPr>
              <w:t>备注</w:t>
            </w:r>
          </w:p>
        </w:tc>
        <w:tc>
          <w:tcPr>
            <w:tcW w:w="8845" w:type="dxa"/>
            <w:gridSpan w:val="2"/>
            <w:tcBorders>
              <w:top w:val="single" w:color="auto" w:sz="4" w:space="0"/>
              <w:left w:val="nil"/>
              <w:bottom w:val="single" w:color="auto" w:sz="4" w:space="0"/>
              <w:right w:val="single" w:color="auto" w:sz="4" w:space="0"/>
            </w:tcBorders>
            <w:noWrap w:val="0"/>
            <w:tcMar>
              <w:top w:w="0" w:type="dxa"/>
              <w:left w:w="64" w:type="dxa"/>
              <w:bottom w:w="0" w:type="dxa"/>
              <w:right w:w="64" w:type="dxa"/>
            </w:tcMar>
            <w:vAlign w:val="center"/>
          </w:tcPr>
          <w:p w14:paraId="5924BB5B">
            <w:pPr>
              <w:widowControl/>
              <w:spacing w:line="219" w:lineRule="atLeast"/>
              <w:jc w:val="left"/>
              <w:textAlignment w:val="baseline"/>
              <w:rPr>
                <w:rFonts w:eastAsia="仿宋_GB2312"/>
              </w:rPr>
            </w:pPr>
            <w:r>
              <w:rPr>
                <w:rFonts w:eastAsia="仿宋_GB2312"/>
              </w:rPr>
              <w:t>1.其他指标可以参照以上指标，其他违法行为可以参照《中华人民共和国行政处罚法》执行。</w:t>
            </w:r>
          </w:p>
          <w:p w14:paraId="4BFF72C0">
            <w:pPr>
              <w:rPr>
                <w:rFonts w:eastAsia="仿宋_GB2312"/>
                <w:szCs w:val="21"/>
              </w:rPr>
            </w:pPr>
            <w:r>
              <w:rPr>
                <w:rFonts w:eastAsia="仿宋_GB2312"/>
                <w:szCs w:val="21"/>
              </w:rPr>
              <w:t>2.故意提供不真实统计资料的，不适用统计轻微违法行为不予行政处罚标准。</w:t>
            </w:r>
          </w:p>
          <w:p w14:paraId="381C146B">
            <w:pPr>
              <w:rPr>
                <w:rFonts w:eastAsia="仿宋_GB2312"/>
                <w:szCs w:val="21"/>
              </w:rPr>
            </w:pPr>
            <w:r>
              <w:rPr>
                <w:rFonts w:eastAsia="仿宋_GB2312"/>
                <w:szCs w:val="21"/>
              </w:rPr>
              <w:t>3.抽样调查中，违法数额或者数量比例小于10%的可以不予行政处罚。</w:t>
            </w:r>
          </w:p>
        </w:tc>
      </w:tr>
    </w:tbl>
    <w:p w14:paraId="2004F86D">
      <w:bookmarkStart w:id="0" w:name="_GoBack"/>
      <w:bookmarkEnd w:id="0"/>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216CC">
    <w:pPr>
      <w:snapToGrid w:val="0"/>
      <w:jc w:val="left"/>
      <w:rPr>
        <w:rFonts w:ascii="Calibri" w:hAnsi="Calibri"/>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007B3"/>
    <w:rsid w:val="0B600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qFormat/>
    <w:uiPriority w:val="0"/>
    <w:rPr>
      <w:rFonts w:hint="eastAsia" w:ascii="仿宋_GB2312" w:hAnsi="Calibri"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2025-01-23T08:07:00Z</dcterms:created>
  <dc:creator>Administrator</dc:creator>
  <cp:lastModifiedBy>Administrator</cp:lastModifiedBy>
  <dcterms:modified xsi:type="dcterms:W3CDTF">2025-01-23T08:08:11Z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54F2D0B9C1384E568581356FFCAA31A1_11</vt:lpwstr>
  </property>
  <property fmtid="{D5CDD505-2E9C-101B-9397-08002B2CF9AE}" pid="4" name="KSOTemplateDocerSaveRecord">
    <vt:lpwstr>eyJoZGlkIjoiZTBmNjQ2NjYyNDJmYmY4MTQ2NDczMjBhODRiNjI0YzQifQ==</vt:lpwstr>
  </property>
</Properties>
</file>