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szCs w:val="44"/>
        </w:rPr>
      </w:pPr>
      <w:bookmarkStart w:id="2" w:name="_GoBack"/>
      <w:r>
        <w:rPr>
          <w:rFonts w:hint="eastAsia" w:ascii="楷体" w:hAnsi="楷体" w:eastAsia="楷体" w:cs="楷体"/>
          <w:b/>
          <w:bCs/>
          <w:sz w:val="44"/>
          <w:szCs w:val="44"/>
        </w:rPr>
        <w:t>武清区</w:t>
      </w:r>
      <w:r>
        <w:rPr>
          <w:rFonts w:hint="eastAsia" w:ascii="楷体" w:hAnsi="楷体" w:eastAsia="楷体" w:cs="楷体"/>
          <w:b/>
          <w:bCs/>
          <w:sz w:val="44"/>
          <w:szCs w:val="44"/>
          <w:lang w:eastAsia="zh-CN"/>
        </w:rPr>
        <w:t>全国第一次水利普查名录以外</w:t>
      </w:r>
      <w:r>
        <w:rPr>
          <w:rFonts w:hint="eastAsia" w:ascii="楷体" w:hAnsi="楷体" w:eastAsia="楷体" w:cs="楷体"/>
          <w:b/>
          <w:bCs/>
          <w:sz w:val="44"/>
          <w:szCs w:val="44"/>
          <w:lang w:val="en-US" w:eastAsia="zh-CN"/>
        </w:rPr>
        <w:t>河湖</w:t>
      </w:r>
      <w:r>
        <w:rPr>
          <w:rFonts w:hint="eastAsia" w:ascii="楷体" w:hAnsi="楷体" w:eastAsia="楷体" w:cs="楷体"/>
          <w:b/>
          <w:bCs/>
          <w:sz w:val="44"/>
          <w:szCs w:val="44"/>
        </w:rPr>
        <w:t>管理范围划</w:t>
      </w:r>
      <w:r>
        <w:rPr>
          <w:rFonts w:hint="eastAsia" w:ascii="楷体" w:hAnsi="楷体" w:eastAsia="楷体" w:cs="楷体"/>
          <w:b/>
          <w:bCs/>
          <w:sz w:val="44"/>
          <w:szCs w:val="44"/>
          <w:lang w:eastAsia="zh-CN"/>
        </w:rPr>
        <w:t>界</w:t>
      </w:r>
      <w:r>
        <w:rPr>
          <w:rFonts w:hint="eastAsia" w:ascii="楷体" w:hAnsi="楷体" w:eastAsia="楷体" w:cs="楷体"/>
          <w:b/>
          <w:bCs/>
          <w:sz w:val="44"/>
          <w:szCs w:val="44"/>
        </w:rPr>
        <w:t>工作实施方案</w:t>
      </w:r>
    </w:p>
    <w:bookmarkEnd w:id="2"/>
    <w:p>
      <w:pPr>
        <w:jc w:val="center"/>
        <w:rPr>
          <w:rFonts w:hint="eastAsia" w:ascii="楷体" w:hAnsi="楷体" w:eastAsia="楷体" w:cs="楷体"/>
          <w:b/>
          <w:bCs/>
          <w:sz w:val="44"/>
          <w:szCs w:val="44"/>
        </w:rPr>
      </w:pPr>
    </w:p>
    <w:p>
      <w:pPr>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根据水利部、市水务局要求，2023年年底前需完成全国第一次水利普查名录以外河湖管理范围划界工作。为确保此项工作高质量完成，现依据水利部《关于报送第一次全国水利普查名录以外河湖管理范围划界工作进展情况的函》、《天津市河道管理条例》、《</w:t>
      </w:r>
      <w:r>
        <w:rPr>
          <w:rFonts w:hint="default" w:ascii="楷体" w:hAnsi="楷体" w:eastAsia="楷体" w:cs="楷体"/>
          <w:sz w:val="32"/>
          <w:szCs w:val="32"/>
          <w:lang w:val="en-US" w:eastAsia="zh-CN"/>
        </w:rPr>
        <w:t>天津市武清区河湖蓝线划定方案</w:t>
      </w:r>
      <w:r>
        <w:rPr>
          <w:rFonts w:hint="eastAsia" w:ascii="楷体" w:hAnsi="楷体" w:eastAsia="楷体" w:cs="楷体"/>
          <w:sz w:val="32"/>
          <w:szCs w:val="32"/>
          <w:lang w:val="en-US" w:eastAsia="zh-CN"/>
        </w:rPr>
        <w:t>》、《市河（湖）长办关于加快推动第一次全国水利普查名录以外河湖管理范围划界工作的通知》制定本方案。</w:t>
      </w:r>
    </w:p>
    <w:p>
      <w:pPr>
        <w:numPr>
          <w:ilvl w:val="0"/>
          <w:numId w:val="1"/>
        </w:numPr>
        <w:ind w:left="0" w:leftChars="0" w:firstLine="642"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工作任务</w:t>
      </w:r>
    </w:p>
    <w:p>
      <w:pPr>
        <w:numPr>
          <w:ilvl w:val="0"/>
          <w:numId w:val="2"/>
        </w:numPr>
        <w:ind w:left="0" w:leftChars="0" w:firstLine="642" w:firstLineChars="200"/>
        <w:jc w:val="left"/>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划定范围</w:t>
      </w:r>
      <w:r>
        <w:rPr>
          <w:rFonts w:hint="eastAsia" w:ascii="楷体" w:hAnsi="楷体" w:eastAsia="楷体" w:cs="楷体"/>
          <w:sz w:val="32"/>
          <w:szCs w:val="32"/>
          <w:lang w:val="en-US" w:eastAsia="zh-CN"/>
        </w:rPr>
        <w:t>：武清行政区域内除第一次全国水利普查名录内的河道以外的河道、湖泊和坑塘。经分析下列项目除外：</w:t>
      </w:r>
    </w:p>
    <w:p>
      <w:pPr>
        <w:numPr>
          <w:ilvl w:val="0"/>
          <w:numId w:val="3"/>
        </w:numPr>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市管一级河道；</w:t>
      </w:r>
    </w:p>
    <w:p>
      <w:pPr>
        <w:numPr>
          <w:ilvl w:val="0"/>
          <w:numId w:val="3"/>
        </w:numPr>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二级河道、骨干渠道及上马台水库的管理范围与本区河湖蓝线重合，不再另行划定；保护范围按《天津市河道管理条例》不需设置；</w:t>
      </w:r>
    </w:p>
    <w:p>
      <w:pPr>
        <w:numPr>
          <w:ilvl w:val="0"/>
          <w:numId w:val="0"/>
        </w:numPr>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（3）大黄堡湿地内的沟渠、坑塘按照湿地管护范围执行，不再另行划定。</w:t>
      </w:r>
    </w:p>
    <w:p>
      <w:pPr>
        <w:numPr>
          <w:ilvl w:val="0"/>
          <w:numId w:val="0"/>
        </w:numPr>
        <w:ind w:left="0" w:leftChars="0"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鉴于上述原因，确定划定范围为：一是区管河道、湖泊。二是镇、村级沟渠和坑塘。</w:t>
      </w:r>
    </w:p>
    <w:p>
      <w:pPr>
        <w:numPr>
          <w:ilvl w:val="0"/>
          <w:numId w:val="2"/>
        </w:numPr>
        <w:ind w:left="0" w:leftChars="0" w:firstLine="642" w:firstLineChars="200"/>
        <w:jc w:val="left"/>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划定原则</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建成区开放式景观湖参照《市城市管理委关于加强建成区内各公园湖塘精细化管理的指导意见》,结合公园管理和规划建设实际需要，以景观湖现有水域划为管护范围。</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镇管干渠为现状上口外延5米作为河道管理边界；如果上口外延5米范围以内与其他现有产权明确的非临时建筑物外部围墙、围栏或产权红线交界，以上述已有的边界线为河道管理边界。</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镇管坑塘。镇管坑塘以现状岸线作为管理边界线，如果没有明确的岸线，以设计运行的最高水位对应的岸线外延5米为管理边界线。</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村级坑塘。如是独立存在的坑塘（含鱼塘），以坑塘现状的上口外延2米为管理界限；如果上口外延2米范围以内与其他现有产权明确的非临时建筑物外部围墙、围栏或产权红线交界，以上述已有的边界线为坑塘管理边界；如是连片的鱼塘、坑塘，且属于同一村的管辖范围内，以连片坑塘、鱼塘的外边缘外延2米作为管理边界；如连片坑塘分属不同村，各村辖区内坑塘以上口外延2米作为各自村内的管理边界，两村之间以村界作为各自管理边界。</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村级沟渠（支渠、毛渠）。以沟渠现状上口外延2米为管理界限；如果上口外延2米范围以内与其他现有产权明确的非临时建筑物外部围墙、围栏或产权红线交界，以上述已有的边界线为该沟渠管理边界。</w:t>
      </w:r>
    </w:p>
    <w:p>
      <w:pPr>
        <w:numPr>
          <w:ilvl w:val="0"/>
          <w:numId w:val="4"/>
        </w:numPr>
        <w:ind w:firstLine="640" w:firstLineChars="200"/>
        <w:jc w:val="lef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镇村级小微水体、路边沟。以现状上口或岸线为管理界限，如果没有明确的岸线，以运行的最高水位对应的岸线为管理边界线。</w:t>
      </w:r>
    </w:p>
    <w:p>
      <w:pPr>
        <w:numPr>
          <w:ilvl w:val="0"/>
          <w:numId w:val="2"/>
        </w:numPr>
        <w:ind w:left="0" w:leftChars="0" w:firstLine="642"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划定方法</w:t>
      </w:r>
    </w:p>
    <w:p>
      <w:pPr>
        <w:numPr>
          <w:ilvl w:val="0"/>
          <w:numId w:val="5"/>
        </w:numPr>
        <w:ind w:firstLine="640" w:firstLineChars="200"/>
        <w:jc w:val="left"/>
        <w:rPr>
          <w:rFonts w:hint="eastAsia" w:ascii="楷体" w:hAnsi="楷体" w:eastAsia="楷体" w:cs="楷体"/>
          <w:b w:val="0"/>
          <w:bCs w:val="0"/>
          <w:sz w:val="32"/>
          <w:szCs w:val="32"/>
          <w:lang w:val="en-US" w:eastAsia="zh-CN"/>
        </w:rPr>
      </w:pPr>
      <w:bookmarkStart w:id="0" w:name="_Toc101268800"/>
      <w:bookmarkStart w:id="1" w:name="_Toc18329"/>
      <w:r>
        <w:rPr>
          <w:rFonts w:hint="eastAsia" w:ascii="楷体" w:hAnsi="楷体" w:eastAsia="楷体" w:cs="楷体"/>
          <w:b w:val="0"/>
          <w:bCs w:val="0"/>
          <w:sz w:val="32"/>
          <w:szCs w:val="32"/>
          <w:lang w:val="en-US" w:eastAsia="zh-CN"/>
        </w:rPr>
        <w:t>建成区开放式景观湖、镇管干渠、镇管坑塘进行现场范围界核查</w:t>
      </w:r>
      <w:bookmarkEnd w:id="0"/>
      <w:bookmarkEnd w:id="1"/>
      <w:r>
        <w:rPr>
          <w:rFonts w:hint="eastAsia" w:ascii="楷体" w:hAnsi="楷体" w:eastAsia="楷体" w:cs="楷体"/>
          <w:b w:val="0"/>
          <w:bCs w:val="0"/>
          <w:sz w:val="32"/>
          <w:szCs w:val="32"/>
          <w:lang w:val="en-US" w:eastAsia="zh-CN"/>
        </w:rPr>
        <w:t>。对于建构筑物密集区域、拟划定范围界与建构筑物距离较近、部分没有明显参照物或河湖岸线不明显的位置时，需要现场核查，并逐条记录备案。</w:t>
      </w:r>
    </w:p>
    <w:p>
      <w:pPr>
        <w:numPr>
          <w:ilvl w:val="0"/>
          <w:numId w:val="5"/>
        </w:numPr>
        <w:ind w:firstLine="640" w:firstLineChars="20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村级支渠、毛渠、小微水体和农村坑塘按照本方案划定原则结合卫星图片进行划定。</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4、划定成果。</w:t>
      </w:r>
      <w:r>
        <w:rPr>
          <w:rFonts w:hint="eastAsia" w:ascii="楷体" w:hAnsi="楷体" w:eastAsia="楷体" w:cs="楷体"/>
          <w:b w:val="0"/>
          <w:bCs w:val="0"/>
          <w:sz w:val="32"/>
          <w:szCs w:val="32"/>
          <w:lang w:val="en-US" w:eastAsia="zh-CN"/>
        </w:rPr>
        <w:t>建成区开放式景观湖、镇管干渠、镇管坑塘的</w:t>
      </w:r>
      <w:r>
        <w:rPr>
          <w:rFonts w:hint="eastAsia" w:ascii="楷体" w:hAnsi="楷体" w:eastAsia="楷体" w:cs="楷体"/>
          <w:sz w:val="32"/>
          <w:szCs w:val="32"/>
          <w:lang w:val="en-US" w:eastAsia="zh-CN"/>
        </w:rPr>
        <w:t>管护范围要明确位置信息，并统一采用2000国家大地坐标系，形成坐标图，测绘精度为1:2000，成果为数字正射影像图（CAD矢量图）。</w:t>
      </w:r>
      <w:r>
        <w:rPr>
          <w:rFonts w:hint="eastAsia" w:ascii="楷体" w:hAnsi="楷体" w:eastAsia="楷体" w:cs="楷体"/>
          <w:b w:val="0"/>
          <w:bCs w:val="0"/>
          <w:sz w:val="32"/>
          <w:szCs w:val="32"/>
          <w:lang w:val="en-US" w:eastAsia="zh-CN"/>
        </w:rPr>
        <w:t>村级支渠、毛渠、小微水体和农村坑塘结合卫星图片明确位置信息和管理范围。最终划定成果在政务网站上进行公示。</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5、管护责任。</w:t>
      </w:r>
      <w:r>
        <w:rPr>
          <w:rFonts w:hint="eastAsia" w:ascii="楷体" w:hAnsi="楷体" w:eastAsia="楷体" w:cs="楷体"/>
          <w:sz w:val="32"/>
          <w:szCs w:val="32"/>
          <w:lang w:val="en-US" w:eastAsia="zh-CN"/>
        </w:rPr>
        <w:t>区管河道、湖泊管护责任由区直相关部门按职责分工负责；镇、村级河道、沟渠、坑塘管护责任由属地镇街（园区）负责。</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6、界桩及标志牌设立。</w:t>
      </w:r>
      <w:r>
        <w:rPr>
          <w:rFonts w:hint="eastAsia" w:ascii="楷体" w:hAnsi="楷体" w:eastAsia="楷体" w:cs="楷体"/>
          <w:b w:val="0"/>
          <w:bCs w:val="0"/>
          <w:sz w:val="32"/>
          <w:szCs w:val="32"/>
          <w:lang w:val="en-US" w:eastAsia="zh-CN"/>
        </w:rPr>
        <w:t>区直部门和各镇街（园区）按照实际管护需要分别开展管理范围内</w:t>
      </w:r>
      <w:r>
        <w:rPr>
          <w:rFonts w:hint="eastAsia" w:ascii="楷体" w:hAnsi="楷体" w:eastAsia="楷体" w:cs="楷体"/>
          <w:sz w:val="32"/>
          <w:szCs w:val="32"/>
          <w:lang w:val="en-US" w:eastAsia="zh-CN"/>
        </w:rPr>
        <w:t>河道、湖泊、坑塘的</w:t>
      </w:r>
      <w:r>
        <w:rPr>
          <w:rFonts w:hint="eastAsia" w:ascii="楷体" w:hAnsi="楷体" w:eastAsia="楷体" w:cs="楷体"/>
          <w:b w:val="0"/>
          <w:bCs w:val="0"/>
          <w:sz w:val="32"/>
          <w:szCs w:val="32"/>
          <w:lang w:val="en-US" w:eastAsia="zh-CN"/>
        </w:rPr>
        <w:t>界桩和标志牌设立工作。</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7、划界宣传。</w:t>
      </w:r>
      <w:r>
        <w:rPr>
          <w:rFonts w:hint="eastAsia" w:ascii="楷体" w:hAnsi="楷体" w:eastAsia="楷体" w:cs="楷体"/>
          <w:sz w:val="32"/>
          <w:szCs w:val="32"/>
          <w:lang w:val="en-US" w:eastAsia="zh-CN"/>
        </w:rPr>
        <w:t>通过通知政务网站公告、微信公众号、融媒体等多种形式向社会公告。</w:t>
      </w:r>
    </w:p>
    <w:p>
      <w:pPr>
        <w:numPr>
          <w:ilvl w:val="0"/>
          <w:numId w:val="1"/>
        </w:numPr>
        <w:ind w:left="0" w:leftChars="0" w:firstLine="642" w:firstLineChars="20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工作目标</w:t>
      </w:r>
    </w:p>
    <w:p>
      <w:pPr>
        <w:numPr>
          <w:ilvl w:val="0"/>
          <w:numId w:val="0"/>
        </w:numPr>
        <w:ind w:firstLine="64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2022年底前完成本次应划界的河湖划定工作。分阶段实施目标如下：</w:t>
      </w:r>
    </w:p>
    <w:p>
      <w:pPr>
        <w:numPr>
          <w:ilvl w:val="0"/>
          <w:numId w:val="0"/>
        </w:numPr>
        <w:ind w:firstLine="64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4月30日前，整理水利普查名录以外应划界河湖名录及管理范围划界进度。</w:t>
      </w:r>
    </w:p>
    <w:p>
      <w:pPr>
        <w:numPr>
          <w:ilvl w:val="0"/>
          <w:numId w:val="0"/>
        </w:numPr>
        <w:ind w:firstLine="640"/>
        <w:jc w:val="left"/>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12月底前，完成应划界河湖总数50%以上的管理范围划界技术性工作;</w:t>
      </w:r>
    </w:p>
    <w:p>
      <w:pPr>
        <w:numPr>
          <w:ilvl w:val="0"/>
          <w:numId w:val="0"/>
        </w:numPr>
        <w:ind w:firstLine="640"/>
        <w:jc w:val="left"/>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2023年底前，完成本次全部河湖管理范围划界技术性工作并向社会公告。结合实际管护需要，各区直部门和属地镇街（园区）陆续开展设立界桩和标志牌。</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2"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职责分工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区城市管理委员会：负责建成区开放式景观湖管理范围边界划定工作。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区大黄堡湿地管委会：负责大黄堡湿地范围内沟渠、坑塘管护工作。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区水务局：负责区级河道、镇村级干支渠、小微水体和坑塘湖泊管理边界范围划界工作；协调相关单位推进划界工作。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规划和自然资源局武清分局：负责配合本次河湖管理范围划界工作，并提供相关资料和技术支持。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镇街园区：按照属地原则，履行镇、村两级河湖长职责，配合区直部门做好所辖区域内河道、坑塘湖泊、小微水体的梳理和划界工作。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附件1：</w:t>
      </w:r>
      <w:r>
        <w:rPr>
          <w:rFonts w:hint="eastAsia" w:ascii="楷体" w:hAnsi="楷体" w:eastAsia="楷体" w:cs="楷体"/>
          <w:sz w:val="32"/>
          <w:szCs w:val="32"/>
          <w:lang w:val="en-US" w:eastAsia="zh-CN"/>
        </w:rPr>
        <w:t>《关于报送第一次全国水利普查名录以外河湖管理范围划界工作进展情况的函》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b w:val="0"/>
          <w:bCs w:val="0"/>
          <w:sz w:val="32"/>
          <w:szCs w:val="32"/>
          <w:lang w:val="en-US" w:eastAsia="zh-CN"/>
        </w:rPr>
        <w:t>附件2：</w:t>
      </w:r>
      <w:r>
        <w:rPr>
          <w:rFonts w:hint="eastAsia" w:ascii="楷体" w:hAnsi="楷体" w:eastAsia="楷体" w:cs="楷体"/>
          <w:sz w:val="32"/>
          <w:szCs w:val="32"/>
          <w:lang w:val="en-US" w:eastAsia="zh-CN"/>
        </w:rPr>
        <w:t>《市河（湖）长办关于加快推动第一次全国水利普查名录以外河湖管理范围划界工作的通知》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附件3：《天津市河道管理条例》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楷体" w:hAnsi="楷体" w:eastAsia="楷体" w:cs="楷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 xml:space="preserve">                              2022年4月29日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B4EDDB"/>
    <w:multiLevelType w:val="singleLevel"/>
    <w:tmpl w:val="98B4EDDB"/>
    <w:lvl w:ilvl="0" w:tentative="0">
      <w:start w:val="1"/>
      <w:numFmt w:val="decimal"/>
      <w:suff w:val="nothing"/>
      <w:lvlText w:val="（%1）"/>
      <w:lvlJc w:val="left"/>
    </w:lvl>
  </w:abstractNum>
  <w:abstractNum w:abstractNumId="1">
    <w:nsid w:val="BEEE0703"/>
    <w:multiLevelType w:val="singleLevel"/>
    <w:tmpl w:val="BEEE0703"/>
    <w:lvl w:ilvl="0" w:tentative="0">
      <w:start w:val="1"/>
      <w:numFmt w:val="decimal"/>
      <w:suff w:val="nothing"/>
      <w:lvlText w:val="（%1）"/>
      <w:lvlJc w:val="left"/>
    </w:lvl>
  </w:abstractNum>
  <w:abstractNum w:abstractNumId="2">
    <w:nsid w:val="E07F2C14"/>
    <w:multiLevelType w:val="singleLevel"/>
    <w:tmpl w:val="E07F2C14"/>
    <w:lvl w:ilvl="0" w:tentative="0">
      <w:start w:val="1"/>
      <w:numFmt w:val="decimal"/>
      <w:suff w:val="nothing"/>
      <w:lvlText w:val="%1、"/>
      <w:lvlJc w:val="left"/>
    </w:lvl>
  </w:abstractNum>
  <w:abstractNum w:abstractNumId="3">
    <w:nsid w:val="1E7F1B74"/>
    <w:multiLevelType w:val="singleLevel"/>
    <w:tmpl w:val="1E7F1B74"/>
    <w:lvl w:ilvl="0" w:tentative="0">
      <w:start w:val="1"/>
      <w:numFmt w:val="chineseCounting"/>
      <w:suff w:val="nothing"/>
      <w:lvlText w:val="%1、"/>
      <w:lvlJc w:val="left"/>
      <w:rPr>
        <w:rFonts w:hint="eastAsia"/>
      </w:rPr>
    </w:lvl>
  </w:abstractNum>
  <w:abstractNum w:abstractNumId="4">
    <w:nsid w:val="7BF70D66"/>
    <w:multiLevelType w:val="singleLevel"/>
    <w:tmpl w:val="7BF70D66"/>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32B76"/>
    <w:rsid w:val="0F820953"/>
    <w:rsid w:val="109B2A36"/>
    <w:rsid w:val="12A65F79"/>
    <w:rsid w:val="151864A1"/>
    <w:rsid w:val="1DF365C0"/>
    <w:rsid w:val="2B21507C"/>
    <w:rsid w:val="36F87DB3"/>
    <w:rsid w:val="383C5416"/>
    <w:rsid w:val="3B9D425C"/>
    <w:rsid w:val="3BE570EB"/>
    <w:rsid w:val="3D332B76"/>
    <w:rsid w:val="3DD456CE"/>
    <w:rsid w:val="3F221D62"/>
    <w:rsid w:val="3F9B30ED"/>
    <w:rsid w:val="40D82FBF"/>
    <w:rsid w:val="41DB68BC"/>
    <w:rsid w:val="43B3918D"/>
    <w:rsid w:val="4EBE688F"/>
    <w:rsid w:val="54EB1499"/>
    <w:rsid w:val="57BC1C55"/>
    <w:rsid w:val="58A553AE"/>
    <w:rsid w:val="599F0BDE"/>
    <w:rsid w:val="59EB467C"/>
    <w:rsid w:val="5EBC65A9"/>
    <w:rsid w:val="5F2A6E4F"/>
    <w:rsid w:val="62CE5B38"/>
    <w:rsid w:val="68C62737"/>
    <w:rsid w:val="69B56BD1"/>
    <w:rsid w:val="6B3E730D"/>
    <w:rsid w:val="6C9D06E1"/>
    <w:rsid w:val="7B74710B"/>
    <w:rsid w:val="7BAF82AE"/>
    <w:rsid w:val="7C9A7DE5"/>
    <w:rsid w:val="7DFE0958"/>
    <w:rsid w:val="7F7BFAD3"/>
    <w:rsid w:val="AECD5ACC"/>
    <w:rsid w:val="BB33C9AB"/>
    <w:rsid w:val="BBA50CA2"/>
    <w:rsid w:val="CEAF4B76"/>
    <w:rsid w:val="E2BF3107"/>
    <w:rsid w:val="FCBD59E2"/>
    <w:rsid w:val="FEF3EB90"/>
    <w:rsid w:val="FFF4C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2019-04-10T00:54:00Z</dcterms:created>
  <dc:creator>Imp_Liu</dc:creator>
  <cp:lastModifiedBy>kylin</cp:lastModifiedBy>
  <cp:lastPrinted>2019-05-15T08:07:00Z</cp:lastPrinted>
  <dcterms:modified xsi:type="dcterms:W3CDTF">2023-12-18T10:07:57Z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