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8" w:lineRule="auto"/>
        <w:ind w:left="195"/>
        <w:rPr>
          <w:rFonts w:ascii="Times New Roman" w:eastAsia="方正小标宋_GBK"/>
          <w:spacing w:val="9"/>
          <w:sz w:val="43"/>
          <w:szCs w:val="43"/>
        </w:rPr>
      </w:pPr>
      <w:r>
        <w:rPr>
          <w:rFonts w:ascii="Times New Roman" w:eastAsia="黑体"/>
          <w:bCs/>
        </w:rPr>
        <w:t>附件5</w:t>
      </w:r>
    </w:p>
    <w:p>
      <w:pPr>
        <w:spacing w:line="540" w:lineRule="exact"/>
        <w:jc w:val="center"/>
        <w:rPr>
          <w:rFonts w:ascii="Times New Roman" w:eastAsia="方正小标宋简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Times New Roman" w:eastAsia="方正小标宋简体"/>
          <w:bCs/>
          <w:sz w:val="44"/>
          <w:szCs w:val="44"/>
        </w:rPr>
      </w:pPr>
      <w:r>
        <w:rPr>
          <w:rFonts w:ascii="Times New Roman" w:eastAsia="方正小标宋简体"/>
          <w:bCs/>
          <w:sz w:val="44"/>
          <w:szCs w:val="44"/>
        </w:rPr>
        <w:t>重大事故隐患排查整治</w:t>
      </w:r>
    </w:p>
    <w:p>
      <w:pPr>
        <w:spacing w:line="500" w:lineRule="exact"/>
        <w:jc w:val="center"/>
        <w:outlineLvl w:val="0"/>
        <w:rPr>
          <w:rFonts w:ascii="Times New Roman" w:eastAsia="方正小标宋简体"/>
          <w:bCs/>
          <w:sz w:val="44"/>
          <w:szCs w:val="44"/>
        </w:rPr>
      </w:pPr>
      <w:r>
        <w:rPr>
          <w:rFonts w:ascii="Times New Roman" w:eastAsia="方正小标宋简体"/>
          <w:bCs/>
          <w:sz w:val="44"/>
          <w:szCs w:val="44"/>
        </w:rPr>
        <w:t>2023专项行动进展情况表</w:t>
      </w:r>
    </w:p>
    <w:p>
      <w:pPr>
        <w:spacing w:line="500" w:lineRule="exact"/>
        <w:jc w:val="center"/>
        <w:outlineLvl w:val="0"/>
        <w:rPr>
          <w:rFonts w:ascii="Times New Roman" w:eastAsia="方正小标宋简体"/>
          <w:bCs/>
          <w:sz w:val="44"/>
          <w:szCs w:val="44"/>
        </w:rPr>
      </w:pPr>
    </w:p>
    <w:p>
      <w:pPr>
        <w:spacing w:before="56" w:beforeLines="10" w:after="56" w:afterLines="10" w:line="400" w:lineRule="exact"/>
        <w:rPr>
          <w:rFonts w:ascii="Times New Roman" w:eastAsia="楷体_GB2312"/>
          <w:bCs/>
          <w:sz w:val="24"/>
        </w:rPr>
      </w:pPr>
      <w:r>
        <w:rPr>
          <w:rFonts w:ascii="Times New Roman" w:eastAsia="楷体_GB2312"/>
          <w:bCs/>
          <w:sz w:val="24"/>
        </w:rPr>
        <w:t>___________（部门）                                  时间：2023年   月   日</w:t>
      </w:r>
    </w:p>
    <w:tbl>
      <w:tblPr>
        <w:tblStyle w:val="4"/>
        <w:tblW w:w="90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480"/>
        <w:gridCol w:w="2767"/>
        <w:gridCol w:w="767"/>
        <w:gridCol w:w="421"/>
        <w:gridCol w:w="2835"/>
        <w:gridCol w:w="7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3" w:type="dxa"/>
            <w:vMerge w:val="restart"/>
            <w:tcBorders>
              <w:top w:val="single" w:color="000000" w:sz="12" w:space="0"/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黑体"/>
                <w:bCs/>
                <w:color w:val="000000"/>
                <w:kern w:val="0"/>
                <w:sz w:val="24"/>
                <w:szCs w:val="24"/>
                <w:lang w:bidi="ar"/>
              </w:rPr>
              <w:t>（一）总体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黑体"/>
                <w:bCs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48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21"/>
                <w:szCs w:val="21"/>
                <w:lang w:val="en" w:eastAsia="zh-CN" w:bidi="ar-SA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  <w:t>1</w:t>
            </w:r>
          </w:p>
        </w:tc>
        <w:tc>
          <w:tcPr>
            <w:tcW w:w="2767" w:type="dxa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企业自查发现的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重大事故隐患（个）</w:t>
            </w:r>
          </w:p>
        </w:tc>
        <w:tc>
          <w:tcPr>
            <w:tcW w:w="76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楷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835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企业自查发现重大事故隐患中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已完成整改的（个）</w:t>
            </w:r>
          </w:p>
        </w:tc>
        <w:tc>
          <w:tcPr>
            <w:tcW w:w="77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3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21"/>
                <w:szCs w:val="21"/>
                <w:lang w:val="en" w:eastAsia="zh-CN" w:bidi="ar-SA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2767" w:type="dxa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部门检查发现的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重大事故隐患（个）</w:t>
            </w:r>
          </w:p>
        </w:tc>
        <w:tc>
          <w:tcPr>
            <w:tcW w:w="76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楷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835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部门检查发现重大事故隐患中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已完成整改的（个）</w:t>
            </w:r>
          </w:p>
        </w:tc>
        <w:tc>
          <w:tcPr>
            <w:tcW w:w="77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3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</w:rPr>
              <w:t>5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政府挂牌督办的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重大事故隐患（个）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楷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挂牌督办重大事故隐患中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已完成整改的（个）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3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</w:rPr>
              <w:t>7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举报奖励（万元），其中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匿名举报查实奖励（万元）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楷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有关负责同志到企业宣讲（次）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983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eastAsia="仿宋_GB2312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eastAsia="仿宋_GB2312"/>
                <w:bCs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Times New Roman"/>
                <w:bCs/>
                <w:color w:val="000000"/>
                <w:kern w:val="0"/>
                <w:sz w:val="21"/>
                <w:szCs w:val="21"/>
                <w:lang w:eastAsia="zh-CN" w:bidi="ar"/>
              </w:rPr>
              <w:t>配备专兼职技术检查员数量</w:t>
            </w:r>
            <w:bookmarkStart w:id="0" w:name="_GoBack"/>
            <w:bookmarkEnd w:id="0"/>
            <w:r>
              <w:rPr>
                <w:rFonts w:hint="eastAsia" w:ascii="Times New Roman"/>
                <w:bCs/>
                <w:color w:val="000000"/>
                <w:kern w:val="0"/>
                <w:sz w:val="21"/>
                <w:szCs w:val="21"/>
                <w:lang w:eastAsia="zh-CN" w:bidi="ar"/>
              </w:rPr>
              <w:t>（人）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eastAsia="楷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Times New Roman" w:eastAsia="宋体"/>
                <w:bCs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3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黑体"/>
                <w:bCs/>
                <w:color w:val="000000"/>
                <w:kern w:val="0"/>
                <w:sz w:val="24"/>
                <w:szCs w:val="24"/>
                <w:lang w:bidi="ar"/>
              </w:rPr>
              <w:t>（二）对企业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黑体"/>
                <w:bCs/>
                <w:color w:val="000000"/>
                <w:kern w:val="0"/>
                <w:sz w:val="24"/>
                <w:szCs w:val="24"/>
                <w:lang w:bidi="ar"/>
              </w:rPr>
              <w:t>自查自改进行抽查检查情况</w:t>
            </w:r>
          </w:p>
        </w:tc>
        <w:tc>
          <w:tcPr>
            <w:tcW w:w="48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  <w:lang w:val="en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  <w:t>1</w:t>
            </w:r>
          </w:p>
        </w:tc>
        <w:tc>
          <w:tcPr>
            <w:tcW w:w="2767" w:type="dxa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部门抽查检查的企业总数（家）</w:t>
            </w:r>
          </w:p>
        </w:tc>
        <w:tc>
          <w:tcPr>
            <w:tcW w:w="76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42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  <w:lang w:val="en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  <w:t>2</w:t>
            </w:r>
          </w:p>
        </w:tc>
        <w:tc>
          <w:tcPr>
            <w:tcW w:w="2835" w:type="dxa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企业主要负责人未按要求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亲自研究排查整治工作（家）</w:t>
            </w:r>
          </w:p>
        </w:tc>
        <w:tc>
          <w:tcPr>
            <w:tcW w:w="77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3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  <w:lang w:val="en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  <w:t>3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企业主要负责人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未带队检查（家）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  <w:lang w:val="en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  <w:t>4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企业未制定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分管负责人职责清单（家）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3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  <w:lang w:val="en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  <w:t>5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企业未依法建立安全管理机构和配足安全管理人员（家）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  <w:lang w:val="en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  <w:t>6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电焊等特种作业岗位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人员无证上岗作业（家）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3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  <w:t>7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外包外租安全管理混乱（家）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  <w:t>8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未按规定开展应急演练、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spacing w:val="-11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员工不熟悉逃生出口（家）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83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  <w:lang w:val="en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</w:rPr>
              <w:t>9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 xml:space="preserve">未按规定比例提取  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安全生产费用（家）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  <w:lang w:val="en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3" w:type="dxa"/>
            <w:vMerge w:val="restart"/>
            <w:tcBorders>
              <w:top w:val="single" w:color="000000" w:sz="12" w:space="0"/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黑体"/>
                <w:bCs/>
                <w:color w:val="000000"/>
                <w:kern w:val="0"/>
                <w:sz w:val="24"/>
                <w:szCs w:val="24"/>
                <w:lang w:bidi="ar"/>
              </w:rPr>
              <w:t>（三）</w:t>
            </w:r>
            <w:r>
              <w:rPr>
                <w:rFonts w:hint="eastAsia" w:ascii="Times New Roman" w:eastAsia="黑体"/>
                <w:bCs/>
                <w:color w:val="000000"/>
                <w:kern w:val="0"/>
                <w:sz w:val="24"/>
                <w:szCs w:val="24"/>
                <w:lang w:bidi="ar"/>
              </w:rPr>
              <w:t>区</w:t>
            </w:r>
            <w:r>
              <w:rPr>
                <w:rFonts w:ascii="Times New Roman" w:eastAsia="黑体"/>
                <w:bCs/>
                <w:color w:val="000000"/>
                <w:kern w:val="0"/>
                <w:sz w:val="24"/>
                <w:szCs w:val="24"/>
                <w:lang w:bidi="ar"/>
              </w:rPr>
              <w:t>级部门精准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黑体"/>
                <w:bCs/>
                <w:color w:val="000000"/>
                <w:kern w:val="0"/>
                <w:sz w:val="24"/>
                <w:szCs w:val="24"/>
                <w:lang w:bidi="ar"/>
              </w:rPr>
              <w:t>严格执法情况</w:t>
            </w:r>
          </w:p>
        </w:tc>
        <w:tc>
          <w:tcPr>
            <w:tcW w:w="48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  <w:lang w:val="en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  <w:t>1</w:t>
            </w:r>
          </w:p>
        </w:tc>
        <w:tc>
          <w:tcPr>
            <w:tcW w:w="2767" w:type="dxa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帮扶指导</w:t>
            </w:r>
            <w:r>
              <w:rPr>
                <w:rFonts w:hint="eastAsia"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镇街园区</w:t>
            </w: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（个次）</w:t>
            </w:r>
          </w:p>
        </w:tc>
        <w:tc>
          <w:tcPr>
            <w:tcW w:w="76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42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  <w:lang w:val="en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  <w:t>2</w:t>
            </w:r>
          </w:p>
        </w:tc>
        <w:tc>
          <w:tcPr>
            <w:tcW w:w="2835" w:type="dxa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帮扶指导重点企业（家次）</w:t>
            </w:r>
          </w:p>
        </w:tc>
        <w:tc>
          <w:tcPr>
            <w:tcW w:w="77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3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  <w:lang w:val="en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  <w:t>3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行政处罚（次，万元）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  <w:lang w:val="en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  <w:t>4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企业和企业主要负责人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“一案双罚”（次）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3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  <w:lang w:val="en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  <w:t>5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移送司法机关（人）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  <w:lang w:val="en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  <w:t>6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责令停产整顿（家）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3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  <w:lang w:val="en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  <w:t>7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曝光、约谈、联合惩戒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企业（家）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  <w:lang w:val="en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  <w:lang w:val="en"/>
              </w:rPr>
              <w:t>8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公布典型执法案例（个），其中危险作业罪案例（个）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3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</w:rPr>
              <w:t>9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责任倒查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追责问责（人）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/>
                <w:bCs/>
                <w:color w:val="000000"/>
                <w:sz w:val="21"/>
                <w:szCs w:val="21"/>
              </w:rPr>
              <w:t>10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约谈通报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/>
                <w:bCs/>
                <w:color w:val="000000"/>
                <w:kern w:val="0"/>
                <w:sz w:val="21"/>
                <w:szCs w:val="21"/>
                <w:lang w:bidi="ar"/>
              </w:rPr>
              <w:t>有关地区及部门（次）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</w:tbl>
    <w:p>
      <w:pPr>
        <w:spacing w:line="260" w:lineRule="exact"/>
        <w:rPr>
          <w:rFonts w:ascii="Times New Roman" w:eastAsia="楷体_GB2312"/>
          <w:bCs/>
          <w:sz w:val="24"/>
        </w:rPr>
      </w:pPr>
    </w:p>
    <w:p>
      <w:pPr>
        <w:pStyle w:val="2"/>
        <w:spacing w:line="260" w:lineRule="exact"/>
        <w:ind w:left="0" w:leftChars="0" w:firstLine="480" w:firstLineChars="200"/>
        <w:rPr>
          <w:rFonts w:ascii="Times New Roman"/>
          <w:bCs/>
        </w:rPr>
      </w:pPr>
      <w:r>
        <w:rPr>
          <w:rFonts w:ascii="Times New Roman" w:eastAsia="楷体_GB2312"/>
          <w:bCs/>
          <w:sz w:val="24"/>
        </w:rPr>
        <w:t>注：进度表自5月</w:t>
      </w:r>
      <w:r>
        <w:rPr>
          <w:rFonts w:hint="eastAsia" w:ascii="Times New Roman" w:eastAsia="楷体_GB2312"/>
          <w:bCs/>
          <w:sz w:val="24"/>
          <w:lang w:val="en-US" w:eastAsia="zh-CN"/>
        </w:rPr>
        <w:t>27</w:t>
      </w:r>
      <w:r>
        <w:rPr>
          <w:rFonts w:ascii="Times New Roman" w:eastAsia="楷体_GB2312"/>
          <w:bCs/>
          <w:sz w:val="24"/>
        </w:rPr>
        <w:t>日开始上报，每月</w:t>
      </w:r>
      <w:r>
        <w:rPr>
          <w:rFonts w:hint="eastAsia" w:ascii="Times New Roman" w:eastAsia="楷体_GB2312"/>
          <w:bCs/>
          <w:sz w:val="24"/>
          <w:lang w:val="en-US" w:eastAsia="zh-CN"/>
        </w:rPr>
        <w:t>12</w:t>
      </w:r>
      <w:r>
        <w:rPr>
          <w:rFonts w:ascii="Times New Roman" w:eastAsia="楷体_GB2312"/>
          <w:bCs/>
          <w:sz w:val="24"/>
        </w:rPr>
        <w:t>日、</w:t>
      </w:r>
      <w:r>
        <w:rPr>
          <w:rFonts w:hint="eastAsia" w:ascii="Times New Roman" w:eastAsia="楷体_GB2312"/>
          <w:bCs/>
          <w:sz w:val="24"/>
          <w:lang w:val="en-US" w:eastAsia="zh-CN"/>
        </w:rPr>
        <w:t>27</w:t>
      </w:r>
      <w:r>
        <w:rPr>
          <w:rFonts w:ascii="Times New Roman" w:eastAsia="楷体_GB2312"/>
          <w:bCs/>
          <w:sz w:val="24"/>
        </w:rPr>
        <w:t>日前上报自专项行动开展以来截至本月月中、月末的累计数据。</w:t>
      </w:r>
    </w:p>
    <w:p>
      <w:pPr>
        <w:pStyle w:val="2"/>
        <w:spacing w:line="260" w:lineRule="exact"/>
        <w:ind w:left="0" w:leftChars="0" w:firstLine="643" w:firstLineChars="200"/>
        <w:rPr>
          <w:rFonts w:ascii="Times New Roman"/>
          <w:b/>
        </w:rPr>
      </w:pPr>
    </w:p>
    <w:p/>
    <w:sectPr>
      <w:footerReference r:id="rId3" w:type="default"/>
      <w:pgSz w:w="11906" w:h="16838"/>
      <w:pgMar w:top="1701" w:right="1417" w:bottom="1474" w:left="1417" w:header="0" w:footer="907" w:gutter="0"/>
      <w:pgNumType w:fmt="numberInDash" w:start="1"/>
      <w:cols w:space="720" w:num="1"/>
      <w:docGrid w:type="lines" w:linePitch="5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宋体-方正超大字符集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5A2"/>
    <w:rsid w:val="00CF05A2"/>
    <w:rsid w:val="00E77CDB"/>
    <w:rsid w:val="1239208F"/>
    <w:rsid w:val="344B7A2B"/>
    <w:rsid w:val="6F7D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nhideWhenUsed="0" w:uiPriority="99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99"/>
    <w:pPr>
      <w:ind w:left="200" w:leftChars="200"/>
    </w:pPr>
  </w:style>
  <w:style w:type="paragraph" w:styleId="3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页脚 Char"/>
    <w:basedOn w:val="5"/>
    <w:link w:val="3"/>
    <w:qFormat/>
    <w:uiPriority w:val="0"/>
    <w:rPr>
      <w:rFonts w:ascii="仿宋_GB2312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619</Words>
  <Characters>639</Characters>
  <Lines>5</Lines>
  <Paragraphs>1</Paragraphs>
  <TotalTime>1</TotalTime>
  <ScaleCrop>false</ScaleCrop>
  <LinksUpToDate>false</LinksUpToDate>
  <CharactersWithSpaces>681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2023-05-22T00:09:00Z</dcterms:created>
  <dc:creator>WP</dc:creator>
  <cp:lastModifiedBy>郭庆贺</cp:lastModifiedBy>
  <dcterms:modified xsi:type="dcterms:W3CDTF">2023-05-22T09:14:58Z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5F0E1EC7836F40C7880129A4DFB23A93</vt:lpwstr>
  </property>
</Properties>
</file>