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350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11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40"/>
          <w:szCs w:val="40"/>
          <w:lang w:val="en-US" w:eastAsia="zh-CN" w:bidi="ar-SA"/>
        </w:rPr>
        <w:t>2024</w:t>
      </w:r>
      <w:r>
        <w:rPr>
          <w:rStyle w:val="11"/>
          <w:rFonts w:ascii="方正小标宋简体" w:hAnsi="方正小标宋简体" w:eastAsia="方正小标宋简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年区文旅局法治政府建设情况报告</w:t>
      </w:r>
    </w:p>
    <w:p w14:paraId="72F2E52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baseline"/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今年以来，认真贯彻落实习近平法治思想，按照依法治区工作要求，履行“第一责任人”责任，推动文旅系统干部树立法治思维，提高依法行政水平，强化治理能力。重点抓了以下几项工作：</w:t>
      </w:r>
    </w:p>
    <w:p w14:paraId="7C05DC33">
      <w:pPr>
        <w:pStyle w:val="20"/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12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00" w:firstLineChars="0"/>
        <w:jc w:val="both"/>
        <w:textAlignment w:val="baseline"/>
        <w:rPr>
          <w:rStyle w:val="11"/>
          <w:rFonts w:ascii="黑体" w:hAnsi="黑体" w:eastAsia="黑体"/>
          <w:b w:val="0"/>
          <w:i w:val="0"/>
          <w:caps w:val="0"/>
          <w:spacing w:val="0"/>
          <w:w w:val="100"/>
          <w:sz w:val="34"/>
          <w:szCs w:val="34"/>
        </w:rPr>
      </w:pPr>
      <w:r>
        <w:rPr>
          <w:rStyle w:val="11"/>
          <w:rFonts w:ascii="黑体" w:hAnsi="黑体" w:eastAsia="黑体"/>
          <w:b w:val="0"/>
          <w:i w:val="0"/>
          <w:caps w:val="0"/>
          <w:spacing w:val="0"/>
          <w:w w:val="100"/>
          <w:sz w:val="34"/>
          <w:szCs w:val="34"/>
        </w:rPr>
        <w:t>加强法治思想建设，培养法治观念</w:t>
      </w:r>
    </w:p>
    <w:p w14:paraId="585EC60B"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baseline"/>
        <w:rPr>
          <w:lang w:val="en-US" w:eastAsia="zh-CN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1.</w:t>
      </w:r>
      <w:r>
        <w:rPr>
          <w:rStyle w:val="11"/>
          <w:rFonts w:hint="eastAsia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抓实</w:t>
      </w:r>
      <w:r>
        <w:rPr>
          <w:rStyle w:val="11"/>
          <w:rFonts w:hint="eastAsia" w:ascii="方正楷体_GBK" w:hAnsi="方正楷体_GBK" w:eastAsia="方正楷体_GBK" w:cs="方正楷体_GBK"/>
          <w:b/>
          <w:bCs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教育培训。</w:t>
      </w:r>
      <w:r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将习近平法治思想列入领导班子学习和干部培训重点内容。今年以党组扩大会、局长办公会、</w:t>
      </w:r>
      <w:r>
        <w:rPr>
          <w:rStyle w:val="11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理论学习中心组</w:t>
      </w:r>
      <w:r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等形式，安排领导班子集中学习。以专题辅导、业务培训、集中学习、网络培训等形式，组织干部教育培训。推动干部增强法治意识，形成尊法学法守法用法的行动自觉。</w:t>
      </w: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严格落实年度国家工作人员网上学法用法考试制度，积极组织参加学习培训，全体职员参与率、合格率均为100%。将《天津市国家工作人员应知应会党内法规和法律法规清单》作为重点，纳入年度学习计划，用好天津干部在线学习、全国文化市场技术监管等平台，增强依法行政能力。发挥领导干部先锋模范作用，带头遵守宪法和法律。选派业务骨干参加文旅部、市总队举办的文化执法业务技能培训班6次，通过集中培训、案卷讲评、以案代训、以赛代训等多种形式，提升文化执法队伍的业务素质。</w:t>
      </w:r>
    </w:p>
    <w:p w14:paraId="2D90BE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baseline"/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2.</w:t>
      </w:r>
      <w:r>
        <w:rPr>
          <w:rStyle w:val="11"/>
          <w:rFonts w:hint="eastAsia" w:ascii="方正楷体_GBK" w:hAnsi="方正楷体_GBK" w:eastAsia="方正楷体_GBK" w:cs="方正楷体_GBK"/>
          <w:b/>
          <w:bCs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开展以案释法。</w:t>
      </w:r>
      <w:r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围绕落实</w:t>
      </w:r>
      <w:r>
        <w:rPr>
          <w:rStyle w:val="11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关于新形势下党内政治生活的若干准则、中国共产党廉洁自律准则、重大事项请示报告条例、党政机关厉行节约反对浪费条例、中央八项规定及其实施细则、</w:t>
      </w:r>
      <w:r>
        <w:rPr>
          <w:rStyle w:val="11"/>
          <w:rFonts w:ascii="方正仿宋简体" w:hAnsi="Calibri" w:eastAsia="方正仿宋简体"/>
          <w:b w:val="0"/>
          <w:i w:val="0"/>
          <w:caps w:val="0"/>
          <w:spacing w:val="0"/>
          <w:w w:val="100"/>
          <w:kern w:val="0"/>
          <w:sz w:val="34"/>
          <w:szCs w:val="34"/>
          <w:lang w:val="en-US" w:eastAsia="zh-CN" w:bidi="ar-SA"/>
        </w:rPr>
        <w:t>《旅游法》《未成年人保护法》</w:t>
      </w:r>
      <w:r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《娱乐场所管理条例》《天津市公共文化服务保障与促进条例》，聚焦典型案例、社会热点案（事）件，开展法治解读</w:t>
      </w:r>
      <w:r>
        <w:rPr>
          <w:rStyle w:val="11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8</w:t>
      </w:r>
      <w:r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次。结合实际工作中遇到的问题进行讨论分析，营造办事依法、遇事找法、解决问题用法、化解矛盾靠法的浓郁氛围。</w:t>
      </w:r>
    </w:p>
    <w:p w14:paraId="3A810EF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rPr>
          <w:rStyle w:val="11"/>
          <w:rFonts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3.</w:t>
      </w:r>
      <w:r>
        <w:rPr>
          <w:rStyle w:val="11"/>
          <w:rFonts w:hint="eastAsia" w:ascii="方正楷体_GBK" w:hAnsi="方正楷体_GBK" w:eastAsia="方正楷体_GBK" w:cs="方正楷体_GBK"/>
          <w:b/>
          <w:bCs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创新普法形式。</w:t>
      </w:r>
      <w:r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发挥部门职能优势，将法治教育融入送文化下乡</w:t>
      </w:r>
      <w:r>
        <w:rPr>
          <w:rStyle w:val="11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中去，截至11月底演出22场，</w:t>
      </w:r>
      <w:r>
        <w:rPr>
          <w:rStyle w:val="11"/>
          <w:rFonts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专业艺术类辅导300余次，惠及人群10万余人。拓展普法宣传平台，拍摄制作</w:t>
      </w:r>
      <w:r>
        <w:rPr>
          <w:rStyle w:val="11"/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" w:eastAsia="zh-CN" w:bidi="ar-SA"/>
        </w:rPr>
        <w:t>2</w:t>
      </w:r>
      <w:r>
        <w:rPr>
          <w:rStyle w:val="11"/>
          <w:rFonts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期普法</w:t>
      </w: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文艺</w:t>
      </w:r>
      <w:r>
        <w:rPr>
          <w:rStyle w:val="11"/>
          <w:rFonts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视频。</w:t>
      </w: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我局图书馆开展“泛书海 法引航”公益普法宣传项目，列入天津市第二批落实普法责任制优秀创新案例。依托新媒体公众号平台，发布普法类信息10条，星级景区、酒店也在积极宣传</w:t>
      </w:r>
      <w:r>
        <w:rPr>
          <w:rStyle w:val="11"/>
          <w:rFonts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法治思想的重大意义、丰富内涵、精神实质和实践要求，推动习近平法治思想深入人心。</w:t>
      </w:r>
    </w:p>
    <w:p w14:paraId="0939D2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/>
        <w:jc w:val="both"/>
        <w:textAlignment w:val="baseline"/>
        <w:rPr>
          <w:rStyle w:val="11"/>
          <w:rFonts w:ascii="Times New Roman" w:hAnsi="Times New Roman" w:eastAsia="方正仿宋简体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ascii="黑体" w:hAnsi="黑体" w:eastAsia="黑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二、履行主体责任，提高依法行政能力</w:t>
      </w:r>
    </w:p>
    <w:p w14:paraId="164560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/>
        <w:jc w:val="both"/>
        <w:textAlignment w:val="baseline"/>
        <w:rPr>
          <w:rStyle w:val="11"/>
          <w:rFonts w:ascii="Times New Roman" w:hAnsi="Times New Roman" w:eastAsia="方正仿宋简体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1.</w:t>
      </w:r>
      <w:r>
        <w:rPr>
          <w:rStyle w:val="11"/>
          <w:rFonts w:hint="eastAsia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完善责任体系。</w:t>
      </w:r>
      <w:r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组建了局法治政府建设工作领导小组，构建了权责清晰的工作体系。坚持“四个亲自”，认真落实 “五个一”， 带动领导班子成员落实“一岗双责”，发挥好“关键少数”的作用，全面推进统筹安排、任务分解、分项落实等各环节工作，确保层层压实无真空。在局系统形成了建设法治政府的强大合力。</w:t>
      </w:r>
    </w:p>
    <w:p w14:paraId="1B505F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/>
        <w:jc w:val="both"/>
        <w:textAlignment w:val="baseline"/>
        <w:rPr>
          <w:rStyle w:val="11"/>
          <w:rFonts w:ascii="Times New Roman" w:hAnsi="Times New Roman" w:eastAsia="方正仿宋简体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2.</w:t>
      </w:r>
      <w:r>
        <w:rPr>
          <w:rStyle w:val="11"/>
          <w:rFonts w:hint="eastAsia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规范行政决策程序。</w:t>
      </w:r>
      <w:r>
        <w:rPr>
          <w:rStyle w:val="11"/>
          <w:rFonts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严格按照</w:t>
      </w:r>
      <w:r>
        <w:rPr>
          <w:rStyle w:val="11"/>
          <w:rFonts w:ascii="Times New Roman" w:hAnsi="Times New Roman" w:eastAsia="方正仿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法律法规做出行政决策。</w:t>
      </w:r>
      <w:r>
        <w:rPr>
          <w:rStyle w:val="11"/>
          <w:rFonts w:hint="eastAsia" w:ascii="Times New Roman" w:hAnsi="Times New Roman" w:eastAsia="方正仿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截至2024年11月底累计审核天津市“一张蓝图、多规合一”工程建设项目策划生成系统中出让、划拨项目共447个；审核“用地清单”项目37个；审核各相关单位及镇街项目控规、工程选址等函询文件37个；审核2024年计划出让地块共189宗；审核专题会审地块9宗；发相关单位涉考古工作文保工作意见函7个；向市文物局申请考古调查、勘探、备案项目及转发市文物局考古工作意见复函共111个；</w:t>
      </w:r>
      <w:r>
        <w:rPr>
          <w:rStyle w:val="11"/>
          <w:rFonts w:ascii="Times New Roman" w:hAnsi="Times New Roman" w:eastAsia="方正仿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每项都严格按照《中华人民共和国文物保护法》科学决策，做出解释说明，提前化解矛盾。</w:t>
      </w:r>
    </w:p>
    <w:p w14:paraId="6C2944A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/>
        <w:jc w:val="both"/>
        <w:textAlignment w:val="baseline"/>
        <w:rPr>
          <w:rStyle w:val="11"/>
          <w:rFonts w:hint="eastAsia" w:ascii="Times New Roman" w:hAnsi="Times New Roman" w:eastAsia="方正仿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3.</w:t>
      </w:r>
      <w:r>
        <w:rPr>
          <w:rStyle w:val="11"/>
          <w:rFonts w:hint="eastAsia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畅通公共决策渠道。</w:t>
      </w:r>
      <w:r>
        <w:rPr>
          <w:rStyle w:val="11"/>
          <w:rFonts w:ascii="Times New Roman" w:hAnsi="Times New Roman" w:eastAsia="方正仿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策划和落实公共文化服务项目，积极听取群众意见。</w:t>
      </w:r>
      <w:r>
        <w:rPr>
          <w:rStyle w:val="11"/>
          <w:rFonts w:hint="eastAsia" w:ascii="Times New Roman" w:hAnsi="Times New Roman" w:eastAsia="方正仿宋简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对区政府信访件，认真研究，严格规范处理。畅通民意反馈渠道，借助便民热线等平台载体，及时倾听民生、了解民情，解决群众反映问题2000余件。常态化落实中央八项规定精神，以问题为导向，加大整治力度，深入开展问题专项自查。</w:t>
      </w:r>
    </w:p>
    <w:p w14:paraId="2747C6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/>
        <w:jc w:val="both"/>
        <w:textAlignment w:val="baseline"/>
        <w:rPr>
          <w:rStyle w:val="11"/>
          <w:rFonts w:ascii="黑体" w:hAnsi="黑体" w:eastAsia="黑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ascii="黑体" w:hAnsi="黑体" w:eastAsia="黑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三、提升执法水平，净化文化市场</w:t>
      </w:r>
    </w:p>
    <w:p w14:paraId="64B95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1.</w:t>
      </w:r>
      <w:r>
        <w:rPr>
          <w:rStyle w:val="11"/>
          <w:rFonts w:hint="eastAsia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持续推进“扫黄打非”。</w:t>
      </w: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组织执法人员开展“净网”“秋风”“护苗”等专项行动，采取自行执法检查和联合执法检查等多种形式，对印刷企业、出版物经营单位、集贸市场和校园周边的文化经营场所进行全面清查，对歌舞娱乐场所、互联网上网服务营业场所、游艺娱乐场所、演出经营单位进行高频次检查。全年共出动执法人员</w:t>
      </w:r>
      <w:r>
        <w:rPr>
          <w:rStyle w:val="11"/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2628</w:t>
      </w: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人次，检查各类文化经营场所</w:t>
      </w:r>
      <w:r>
        <w:rPr>
          <w:rStyle w:val="11"/>
          <w:rFonts w:hint="default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1296</w:t>
      </w: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家次，办理行政案件41起，进一步规范了全区文旅市场经营秩序，保持全区文旅市场平稳有序发展。联合区“扫黄打非”办公室、区文旅局、区教育局等部门在杨村第十小学开展“党建+普法”进校园志愿服务活动，联合嘉宁道北社区开展普法宣传进社区志愿服务活动，通过观看视频、普法宣讲、互动问答、发放宣传品等形式，向学生、群众普及“扫黄打非”、未成年人保护等相关的法律法规知识。开设“普法微课堂”和“以案释法”栏目，利用“武清文化执法”公众号向群众普及文旅市场相关法律法规、宣传文化市场方针政策、决策部署和形式任务，共推送相关信息74条，展示文化执法工作成果。配合市“扫黄打非”办公室，参与拍摄“以案说法”专题片《攻坚—天津侦破“3·13”重大仓储发行盗版图书案纪实》，并在天津电视台新闻频道播出。</w:t>
      </w:r>
    </w:p>
    <w:p w14:paraId="45212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Style w:val="11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2.</w:t>
      </w:r>
      <w:r>
        <w:rPr>
          <w:rStyle w:val="11"/>
          <w:rFonts w:hint="eastAsia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加强日常教育引导。</w:t>
      </w: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坚持执法办案与普法宣传相结合，将普法宣传教育渗透到执法的全过程，以文明执法促进深度普法，以深度普法倒逼文明执法。全面落实“谁执法，谁普法”责任制，在执法过程中向各经营单位下发宣传单3000余份，向企业宣讲《中华人民共和国著作权法》《中华人民共和国旅游法》等法律法规。</w:t>
      </w:r>
    </w:p>
    <w:p w14:paraId="571C1E76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730" w:leftChars="0" w:right="0" w:rightChars="0"/>
        <w:textAlignment w:val="auto"/>
        <w:rPr>
          <w:rStyle w:val="11"/>
          <w:rFonts w:hint="default" w:ascii="黑体" w:hAnsi="黑体" w:eastAsia="黑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黑体" w:hAnsi="黑体" w:eastAsia="黑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四、存在突出问题和不足</w:t>
      </w:r>
    </w:p>
    <w:p w14:paraId="0B018EAB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680" w:firstLineChars="200"/>
        <w:textAlignment w:val="auto"/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1.</w:t>
      </w:r>
      <w:r>
        <w:rPr>
          <w:rStyle w:val="11"/>
          <w:rFonts w:hint="default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法治能力运用仍需深化。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运用法律的思维和方法推动工作的惯性和敏锐度不足，法治观念、法治意识待增强。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br w:type="textWrapping"/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 xml:space="preserve">    </w:t>
      </w:r>
      <w:r>
        <w:rPr>
          <w:rStyle w:val="11"/>
          <w:rFonts w:hint="eastAsia" w:ascii="Times New Roman" w:hAnsi="Times New Roman" w:eastAsia="方正仿宋简体" w:cs="Times New Roman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2.</w:t>
      </w:r>
      <w:r>
        <w:rPr>
          <w:rStyle w:val="11"/>
          <w:rFonts w:hint="default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法治队伍建设仍需加强。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随着剧本娱乐等新兴文化业态的兴起，文化和旅游行业呈现点多、面广、问题</w:t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复杂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的特点，加之疫情给旅游行业带来的不利影响，文旅市场监管执法广度、深度有待拓展，精细化程度亟需提高，这给有限的文化和旅游市场执法力量带来挑战。</w:t>
      </w:r>
    </w:p>
    <w:p w14:paraId="7A9A7C4E"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680" w:firstLineChars="200"/>
        <w:textAlignment w:val="auto"/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3.</w:t>
      </w:r>
      <w:r>
        <w:rPr>
          <w:rStyle w:val="11"/>
          <w:rFonts w:hint="default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法治宣传工作仍需增强。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运用新技术开展法治宣传的针对性还有不足，宣传载体不够鲜活，群众参与的积极性、主动性还需进一步提升，法治建设信息报送力度不多。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br w:type="textWrapping"/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 xml:space="preserve">    </w:t>
      </w:r>
      <w:r>
        <w:rPr>
          <w:rStyle w:val="11"/>
          <w:rFonts w:hint="eastAsia" w:ascii="黑体" w:hAnsi="黑体" w:eastAsia="黑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五</w:t>
      </w:r>
      <w:r>
        <w:rPr>
          <w:rStyle w:val="11"/>
          <w:rFonts w:hint="default" w:ascii="黑体" w:hAnsi="黑体" w:eastAsia="黑体" w:cs="Times New Roman"/>
          <w:b w:val="0"/>
          <w:bCs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、下一步工作思路和打算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br w:type="textWrapping"/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 xml:space="preserve">    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接下来，要持续深化学习</w:t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贯彻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习近平法治思想，切实把党的领导落实到法治社会建设各方面。进一步发挥文旅部门在推进法治社会建设中的作用，高标准落实普法责任，加快建设权责统一、权威高效的行政执法</w:t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干部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队伍，提高文旅行业治理水平，为谱写京津明珠、幸福武清新篇章贡献力量。</w:t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br w:type="textWrapping"/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 xml:space="preserve">   1.</w:t>
      </w:r>
      <w:r>
        <w:rPr>
          <w:rStyle w:val="11"/>
          <w:rFonts w:hint="default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提高政治站位，统筹推进法治建设工作。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坚持以身作则，团结带领班子成员，结合</w:t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党的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二十大精神学习，认真开展习近平</w:t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法治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思想学习研讨。切实落实好党组理论学习中心组专题学法制度，全面加强党对法治工作的领导，统筹推进法治建设各项工作高效开展。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br w:type="textWrapping"/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 xml:space="preserve">   2.</w:t>
      </w:r>
      <w:r>
        <w:rPr>
          <w:rStyle w:val="11"/>
          <w:rFonts w:hint="default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持续加大文化市场监管执法力度。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强化文化市场监管执法，深入推进“双随机</w:t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、</w:t>
      </w:r>
      <w:bookmarkStart w:id="0" w:name="_GoBack"/>
      <w:bookmarkEnd w:id="0"/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一公开”监管，高效统筹执法资源，杜绝重复执法、选择性执法等行政执法领域突出问题，着力打造公平公正的文化市场竞争环境和法治化、便利化营商环境。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br w:type="textWrapping"/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 xml:space="preserve">   3.</w:t>
      </w:r>
      <w:r>
        <w:rPr>
          <w:rStyle w:val="11"/>
          <w:rFonts w:hint="default" w:ascii="方正楷体_GBK" w:hAnsi="方正楷体_GBK" w:eastAsia="方正楷体_GBK" w:cs="方正楷体_GBK"/>
          <w:b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统筹推进监管执法与普法宣传。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 xml:space="preserve">落实“谁执法 </w:t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谁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普法“</w:t>
      </w:r>
      <w:r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责任制</w:t>
      </w:r>
      <w:r>
        <w:rPr>
          <w:rStyle w:val="11"/>
          <w:rFonts w:hint="default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，结合重要时间节点，开展形式多样的法律法规宣传活动，增强法治宣传教育活动的针对性、 实效性。</w:t>
      </w:r>
    </w:p>
    <w:p w14:paraId="0CFF7495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baseline"/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</w:p>
    <w:p w14:paraId="224AEC9A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baseline"/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</w:p>
    <w:p w14:paraId="22B18914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baseline"/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</w:p>
    <w:p w14:paraId="67FFF3AE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baseline"/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</w:p>
    <w:p w14:paraId="11AC0CF1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baseline"/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</w:p>
    <w:p w14:paraId="673AF914"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80" w:firstLineChars="200"/>
        <w:jc w:val="both"/>
        <w:textAlignment w:val="baseline"/>
        <w:rPr>
          <w:rStyle w:val="11"/>
          <w:rFonts w:hint="eastAsia" w:ascii="Times New Roman" w:hAnsi="Times New Roman" w:eastAsia="方正仿宋简体" w:cstheme="minorBidi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</w:pPr>
    </w:p>
    <w:p w14:paraId="171D3AB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baseline"/>
        <w:rPr>
          <w:rStyle w:val="11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" w:eastAsia="zh-CN" w:bidi="ar-SA"/>
        </w:rPr>
      </w:pPr>
      <w:r>
        <w:rPr>
          <w:rStyle w:val="11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" w:eastAsia="zh-CN" w:bidi="ar-SA"/>
        </w:rPr>
        <w:t>武清区文化和旅游局</w:t>
      </w:r>
    </w:p>
    <w:p w14:paraId="6D2BF8C2">
      <w:pPr>
        <w:pStyle w:val="2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Style w:val="11"/>
          <w:rFonts w:hint="eastAsia" w:ascii="Times New Roman" w:hAnsi="Times New Roman" w:eastAsia="方正仿宋简体"/>
          <w:b w:val="0"/>
          <w:i w:val="0"/>
          <w:caps w:val="0"/>
          <w:spacing w:val="0"/>
          <w:w w:val="100"/>
          <w:kern w:val="2"/>
          <w:sz w:val="34"/>
          <w:szCs w:val="34"/>
          <w:lang w:val="en-US" w:eastAsia="zh-CN" w:bidi="ar-SA"/>
        </w:rPr>
        <w:t>2024年12月11日</w:t>
      </w:r>
    </w:p>
    <w:sectPr>
      <w:footerReference r:id="rId3" w:type="default"/>
      <w:pgSz w:w="11906" w:h="16838"/>
      <w:pgMar w:top="1531" w:right="1531" w:bottom="1531" w:left="153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entury Schoolbook">
    <w:altName w:val="Century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21C6F9">
    <w:pPr>
      <w:pStyle w:val="4"/>
      <w:widowControl/>
      <w:snapToGrid w:val="0"/>
      <w:jc w:val="left"/>
      <w:textAlignment w:val="baseline"/>
      <w:rPr>
        <w:rStyle w:val="11"/>
        <w:rFonts w:ascii="Calibri" w:hAnsi="Calibri" w:eastAsia="宋体"/>
        <w:kern w:val="2"/>
        <w:sz w:val="18"/>
        <w:szCs w:val="22"/>
        <w:lang w:val="en-US" w:eastAsia="zh-CN" w:bidi="ar-SA"/>
      </w:rPr>
    </w:pPr>
    <w:r>
      <w:rPr>
        <w:rStyle w:val="11"/>
        <w:rFonts w:ascii="Calibri" w:hAnsi="Calibri" w:eastAsia="宋体"/>
        <w:kern w:val="2"/>
        <w:sz w:val="18"/>
        <w:szCs w:val="22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weight="0.5pt"/>
          <v:imagedata o:title=""/>
          <o:lock v:ext="edit"/>
          <v:textbox inset="0mm,0mm,0mm,0mm">
            <w:txbxContent>
              <w:p w14:paraId="06A48833">
                <w:pPr>
                  <w:pStyle w:val="4"/>
                  <w:widowControl/>
                  <w:snapToGrid w:val="0"/>
                  <w:jc w:val="left"/>
                  <w:textAlignment w:val="baseline"/>
                  <w:rPr>
                    <w:rStyle w:val="11"/>
                    <w:rFonts w:ascii="Calibri" w:hAnsi="Calibri" w:eastAsia="宋体"/>
                    <w:kern w:val="2"/>
                    <w:sz w:val="18"/>
                    <w:szCs w:val="22"/>
                    <w:lang w:val="en-US" w:eastAsia="zh-CN" w:bidi="ar-SA"/>
                  </w:rPr>
                </w:pPr>
              </w:p>
              <w:p w14:paraId="05FCB13A">
                <w:pPr>
                  <w:pStyle w:val="4"/>
                  <w:widowControl/>
                  <w:snapToGrid w:val="0"/>
                  <w:jc w:val="left"/>
                  <w:textAlignment w:val="baseline"/>
                  <w:rPr>
                    <w:rStyle w:val="11"/>
                    <w:rFonts w:ascii="Calibri" w:hAnsi="Calibri" w:eastAsia="宋体"/>
                    <w:kern w:val="2"/>
                    <w:sz w:val="18"/>
                    <w:szCs w:val="22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81D85"/>
    <w:multiLevelType w:val="multilevel"/>
    <w:tmpl w:val="09F81D85"/>
    <w:lvl w:ilvl="0" w:tentative="0">
      <w:start w:val="1"/>
      <w:numFmt w:val="japaneseCounting"/>
      <w:lvlText w:val="%1、"/>
      <w:lvlJc w:val="left"/>
      <w:pPr>
        <w:widowControl/>
        <w:ind w:left="1400" w:hanging="720"/>
        <w:textAlignment w:val="baseline"/>
      </w:pPr>
      <w:rPr>
        <w:rStyle w:val="11"/>
      </w:rPr>
    </w:lvl>
    <w:lvl w:ilvl="1" w:tentative="0">
      <w:start w:val="1"/>
      <w:numFmt w:val="lowerLetter"/>
      <w:lvlText w:val="%1)"/>
      <w:lvlJc w:val="left"/>
      <w:pPr>
        <w:widowControl/>
        <w:ind w:left="1520" w:hanging="420"/>
        <w:textAlignment w:val="baseline"/>
      </w:pPr>
      <w:rPr>
        <w:rStyle w:val="11"/>
      </w:rPr>
    </w:lvl>
    <w:lvl w:ilvl="2" w:tentative="0">
      <w:start w:val="1"/>
      <w:numFmt w:val="lowerRoman"/>
      <w:lvlText w:val="%1."/>
      <w:lvlJc w:val="right"/>
      <w:pPr>
        <w:widowControl/>
        <w:ind w:left="1940" w:hanging="420"/>
        <w:textAlignment w:val="baseline"/>
      </w:pPr>
      <w:rPr>
        <w:rStyle w:val="11"/>
      </w:rPr>
    </w:lvl>
    <w:lvl w:ilvl="3" w:tentative="0">
      <w:start w:val="1"/>
      <w:numFmt w:val="decimal"/>
      <w:lvlText w:val="%1."/>
      <w:lvlJc w:val="left"/>
      <w:pPr>
        <w:widowControl/>
        <w:ind w:left="2360" w:hanging="420"/>
        <w:textAlignment w:val="baseline"/>
      </w:pPr>
      <w:rPr>
        <w:rStyle w:val="11"/>
      </w:rPr>
    </w:lvl>
    <w:lvl w:ilvl="4" w:tentative="0">
      <w:start w:val="1"/>
      <w:numFmt w:val="lowerLetter"/>
      <w:lvlText w:val="%1)"/>
      <w:lvlJc w:val="left"/>
      <w:pPr>
        <w:widowControl/>
        <w:ind w:left="2780" w:hanging="420"/>
        <w:textAlignment w:val="baseline"/>
      </w:pPr>
      <w:rPr>
        <w:rStyle w:val="11"/>
      </w:rPr>
    </w:lvl>
    <w:lvl w:ilvl="5" w:tentative="0">
      <w:start w:val="1"/>
      <w:numFmt w:val="lowerRoman"/>
      <w:lvlText w:val="%1."/>
      <w:lvlJc w:val="right"/>
      <w:pPr>
        <w:widowControl/>
        <w:ind w:left="3200" w:hanging="420"/>
        <w:textAlignment w:val="baseline"/>
      </w:pPr>
      <w:rPr>
        <w:rStyle w:val="11"/>
      </w:rPr>
    </w:lvl>
    <w:lvl w:ilvl="6" w:tentative="0">
      <w:start w:val="1"/>
      <w:numFmt w:val="decimal"/>
      <w:lvlText w:val="%1."/>
      <w:lvlJc w:val="left"/>
      <w:pPr>
        <w:widowControl/>
        <w:ind w:left="3620" w:hanging="420"/>
        <w:textAlignment w:val="baseline"/>
      </w:pPr>
      <w:rPr>
        <w:rStyle w:val="11"/>
      </w:rPr>
    </w:lvl>
    <w:lvl w:ilvl="7" w:tentative="0">
      <w:start w:val="1"/>
      <w:numFmt w:val="lowerLetter"/>
      <w:lvlText w:val="%1)"/>
      <w:lvlJc w:val="left"/>
      <w:pPr>
        <w:widowControl/>
        <w:ind w:left="4040" w:hanging="420"/>
        <w:textAlignment w:val="baseline"/>
      </w:pPr>
      <w:rPr>
        <w:rStyle w:val="11"/>
      </w:rPr>
    </w:lvl>
    <w:lvl w:ilvl="8" w:tentative="0">
      <w:start w:val="1"/>
      <w:numFmt w:val="lowerRoman"/>
      <w:lvlText w:val="%1."/>
      <w:lvlJc w:val="right"/>
      <w:pPr>
        <w:widowControl/>
        <w:ind w:left="4460" w:hanging="420"/>
        <w:textAlignment w:val="baseline"/>
      </w:pPr>
      <w:rPr>
        <w:rStyle w:val="1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4E9D7CC9"/>
    <w:rsid w:val="50B51E85"/>
    <w:rsid w:val="62CD0900"/>
    <w:rsid w:val="6BF04E69"/>
    <w:rsid w:val="72FEE5CD"/>
    <w:rsid w:val="73DFE3A5"/>
    <w:rsid w:val="7DEFDAE3"/>
    <w:rsid w:val="9BFD683B"/>
    <w:rsid w:val="9D5E3AA3"/>
    <w:rsid w:val="A8BE2625"/>
    <w:rsid w:val="BA8FAA79"/>
    <w:rsid w:val="BB5E66A8"/>
    <w:rsid w:val="BFBC77F8"/>
    <w:rsid w:val="CFFD7412"/>
    <w:rsid w:val="DBF79939"/>
    <w:rsid w:val="E36FC4B6"/>
    <w:rsid w:val="EFBF326E"/>
    <w:rsid w:val="F04F0D15"/>
    <w:rsid w:val="F77E2A70"/>
    <w:rsid w:val="F9FF9B14"/>
    <w:rsid w:val="FBB57B60"/>
    <w:rsid w:val="FC4F35EB"/>
    <w:rsid w:val="FD998097"/>
    <w:rsid w:val="FFDDE478"/>
    <w:rsid w:val="FFFAC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firstLine="720" w:firstLineChars="225"/>
      <w:jc w:val="both"/>
      <w:textAlignment w:val="baseline"/>
    </w:pPr>
    <w:rPr>
      <w:rFonts w:ascii="Calibri" w:hAnsi="Calibri" w:eastAsia="宋体"/>
      <w:kern w:val="2"/>
      <w:sz w:val="32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2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jc w:val="both"/>
      <w:textAlignment w:val="baseline"/>
    </w:pPr>
    <w:rPr>
      <w:rFonts w:ascii="Calibri" w:hAnsi="Calibri" w:eastAsia="宋体"/>
      <w:kern w:val="2"/>
      <w:sz w:val="18"/>
      <w:szCs w:val="22"/>
      <w:lang w:val="en-US" w:eastAsia="zh-CN" w:bidi="ar-SA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11"/>
    <w:link w:val="1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qFormat/>
    <w:uiPriority w:val="0"/>
  </w:style>
  <w:style w:type="paragraph" w:customStyle="1" w:styleId="12">
    <w:name w:val="Heading1"/>
    <w:basedOn w:val="1"/>
    <w:next w:val="1"/>
    <w:link w:val="15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ascii="Calibri" w:hAnsi="Calibri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3">
    <w:name w:val="Heading3"/>
    <w:basedOn w:val="1"/>
    <w:next w:val="1"/>
    <w:qFormat/>
    <w:uiPriority w:val="0"/>
    <w:pPr>
      <w:spacing w:beforeAutospacing="1" w:afterAutospacing="1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 w:bidi="ar-SA"/>
    </w:rPr>
  </w:style>
  <w:style w:type="table" w:customStyle="1" w:styleId="14">
    <w:name w:val="TableNormal"/>
    <w:qFormat/>
    <w:uiPriority w:val="0"/>
  </w:style>
  <w:style w:type="character" w:customStyle="1" w:styleId="15">
    <w:name w:val="UserStyle_0"/>
    <w:basedOn w:val="11"/>
    <w:link w:val="1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UserStyle_1"/>
    <w:basedOn w:val="1"/>
    <w:link w:val="17"/>
    <w:qFormat/>
    <w:uiPriority w:val="0"/>
    <w:pPr>
      <w:shd w:val="clear" w:color="auto" w:fill="FFFFFF"/>
      <w:spacing w:before="480" w:line="581" w:lineRule="exact"/>
      <w:ind w:hanging="280"/>
      <w:jc w:val="distribute"/>
      <w:textAlignment w:val="baseline"/>
    </w:pPr>
    <w:rPr>
      <w:rFonts w:ascii="MingLiU" w:hAnsi="MingLiU" w:eastAsia="MingLiU"/>
      <w:spacing w:val="50"/>
      <w:kern w:val="2"/>
      <w:sz w:val="29"/>
      <w:szCs w:val="29"/>
      <w:lang w:val="en-US" w:eastAsia="zh-CN" w:bidi="ar-SA"/>
    </w:rPr>
  </w:style>
  <w:style w:type="character" w:customStyle="1" w:styleId="17">
    <w:name w:val="UserStyle_2"/>
    <w:basedOn w:val="11"/>
    <w:link w:val="16"/>
    <w:qFormat/>
    <w:uiPriority w:val="0"/>
    <w:rPr>
      <w:rFonts w:ascii="MingLiU" w:hAnsi="MingLiU" w:eastAsia="MingLiU"/>
      <w:spacing w:val="50"/>
      <w:sz w:val="29"/>
      <w:szCs w:val="29"/>
    </w:rPr>
  </w:style>
  <w:style w:type="character" w:customStyle="1" w:styleId="18">
    <w:name w:val="UserStyle_3"/>
    <w:basedOn w:val="17"/>
    <w:link w:val="1"/>
    <w:qFormat/>
    <w:uiPriority w:val="0"/>
    <w:rPr>
      <w:rFonts w:ascii="MS Mincho" w:hAnsi="MS Mincho" w:eastAsia="MS Mincho"/>
      <w:color w:val="000000"/>
      <w:position w:val="0"/>
      <w:sz w:val="32"/>
      <w:szCs w:val="32"/>
      <w:lang w:val="zh-CN"/>
    </w:rPr>
  </w:style>
  <w:style w:type="character" w:customStyle="1" w:styleId="19">
    <w:name w:val="UserStyle_4"/>
    <w:basedOn w:val="17"/>
    <w:link w:val="1"/>
    <w:qFormat/>
    <w:uiPriority w:val="0"/>
    <w:rPr>
      <w:rFonts w:ascii="Century Schoolbook" w:hAnsi="Century Schoolbook" w:eastAsia="Century Schoolbook" w:cs="Century Schoolbook"/>
      <w:b/>
      <w:bCs/>
      <w:color w:val="000000"/>
      <w:position w:val="0"/>
      <w:sz w:val="17"/>
      <w:szCs w:val="17"/>
      <w:lang w:val="zh-CN"/>
    </w:rPr>
  </w:style>
  <w:style w:type="paragraph" w:customStyle="1" w:styleId="20">
    <w:name w:val="179"/>
    <w:basedOn w:val="1"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2752</Words>
  <Characters>2813</Characters>
  <TotalTime>14</TotalTime>
  <ScaleCrop>false</ScaleCrop>
  <LinksUpToDate>false</LinksUpToDate>
  <CharactersWithSpaces>5482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2023-11-19T07:38:00Z</dcterms:created>
  <dc:creator>kylin</dc:creator>
  <cp:lastModifiedBy>董帅</cp:lastModifiedBy>
  <dcterms:modified xsi:type="dcterms:W3CDTF">2025-01-10T08:01:02Z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eyJoZGlkIjoiMmE0YTQ0N2I4YTViMmY4ZWQ0NGM0YjczNTQwYmRiMzEiLCJ1c2VySWQiOiIyNDYyNjgwNTIifQ==</vt:lpwstr>
  </property>
  <property fmtid="{D5CDD505-2E9C-101B-9397-08002B2CF9AE}" pid="4" name="ICV">
    <vt:lpwstr>05136A4F250341B0B1335C44DF03CF7C_12</vt:lpwstr>
  </property>
</Properties>
</file>