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27682A">
      <w:pPr>
        <w:spacing w:line="360" w:lineRule="auto"/>
        <w:jc w:val="center"/>
        <w:rPr>
          <w:rFonts w:ascii="Times New Roman" w:hAnsi="Times New Roman" w:eastAsia="仿宋_GB2312" w:cs="Times New Roman"/>
          <w:sz w:val="44"/>
        </w:rPr>
      </w:pPr>
    </w:p>
    <w:p w14:paraId="06D3F08C">
      <w:pPr>
        <w:spacing w:line="360" w:lineRule="auto"/>
        <w:jc w:val="center"/>
        <w:rPr>
          <w:rFonts w:ascii="Times New Roman" w:hAnsi="Times New Roman" w:eastAsia="仿宋_GB2312" w:cs="Times New Roman"/>
          <w:sz w:val="44"/>
        </w:rPr>
      </w:pPr>
    </w:p>
    <w:p w14:paraId="0BBFE3CF">
      <w:pPr>
        <w:spacing w:line="360" w:lineRule="auto"/>
        <w:jc w:val="center"/>
        <w:rPr>
          <w:rFonts w:ascii="Times New Roman" w:hAnsi="Times New Roman" w:eastAsia="仿宋_GB2312" w:cs="Times New Roman"/>
          <w:sz w:val="44"/>
        </w:rPr>
      </w:pPr>
    </w:p>
    <w:p w14:paraId="5B933179">
      <w:pPr>
        <w:spacing w:line="360" w:lineRule="auto"/>
        <w:jc w:val="center"/>
        <w:rPr>
          <w:rFonts w:ascii="Times New Roman" w:hAnsi="Times New Roman" w:eastAsia="仿宋_GB2312" w:cs="Times New Roman"/>
          <w:sz w:val="44"/>
        </w:rPr>
      </w:pPr>
    </w:p>
    <w:p w14:paraId="38DDCE6B">
      <w:pPr>
        <w:spacing w:line="360" w:lineRule="auto"/>
        <w:jc w:val="center"/>
        <w:rPr>
          <w:rFonts w:ascii="Times New Roman" w:hAnsi="Times New Roman" w:eastAsia="仿宋_GB2312" w:cs="Times New Roman"/>
          <w:sz w:val="44"/>
        </w:rPr>
      </w:pPr>
    </w:p>
    <w:p w14:paraId="3044A215">
      <w:pPr>
        <w:spacing w:line="720" w:lineRule="auto"/>
        <w:jc w:val="center"/>
        <w:rPr>
          <w:rFonts w:ascii="Times New Roman" w:hAnsi="Times New Roman" w:eastAsia="方正小标宋简体" w:cs="Times New Roman"/>
          <w:sz w:val="44"/>
        </w:rPr>
      </w:pPr>
      <w:bookmarkStart w:id="0" w:name="_Hlk205223853"/>
      <w:r>
        <w:rPr>
          <w:rFonts w:ascii="Times New Roman" w:hAnsi="Times New Roman" w:eastAsia="方正小标宋简体" w:cs="Times New Roman"/>
          <w:sz w:val="44"/>
        </w:rPr>
        <w:t>天津市武清区湿地保护规划</w:t>
      </w:r>
    </w:p>
    <w:p w14:paraId="540AD6D8">
      <w:pPr>
        <w:spacing w:line="720" w:lineRule="auto"/>
        <w:jc w:val="center"/>
        <w:rPr>
          <w:rFonts w:ascii="Times New Roman" w:hAnsi="Times New Roman" w:eastAsia="方正小标宋简体" w:cs="Times New Roman"/>
          <w:sz w:val="44"/>
        </w:rPr>
      </w:pPr>
      <w:r>
        <w:rPr>
          <w:rFonts w:ascii="Times New Roman" w:hAnsi="Times New Roman" w:eastAsia="方正小标宋简体" w:cs="Times New Roman"/>
          <w:sz w:val="44"/>
        </w:rPr>
        <w:t>（2022—2030年）</w:t>
      </w:r>
    </w:p>
    <w:bookmarkEnd w:id="0"/>
    <w:p w14:paraId="59CE69EB">
      <w:pPr>
        <w:spacing w:line="360" w:lineRule="auto"/>
        <w:jc w:val="center"/>
        <w:rPr>
          <w:rFonts w:hint="eastAsia" w:ascii="Times New Roman" w:hAnsi="Times New Roman" w:eastAsia="仿宋_GB2312" w:cs="Times New Roman"/>
          <w:sz w:val="44"/>
          <w:lang w:eastAsia="zh-CN"/>
        </w:rPr>
      </w:pPr>
      <w:r>
        <w:rPr>
          <w:rFonts w:hint="eastAsia" w:ascii="Times New Roman" w:hAnsi="Times New Roman" w:eastAsia="仿宋_GB2312" w:cs="Times New Roman"/>
          <w:sz w:val="44"/>
          <w:lang w:eastAsia="zh-CN"/>
        </w:rPr>
        <w:t>（征求意见稿）</w:t>
      </w:r>
    </w:p>
    <w:p w14:paraId="5EC243D8">
      <w:pPr>
        <w:spacing w:line="360" w:lineRule="auto"/>
        <w:jc w:val="center"/>
        <w:rPr>
          <w:rFonts w:ascii="Times New Roman" w:hAnsi="Times New Roman" w:eastAsia="仿宋_GB2312" w:cs="Times New Roman"/>
          <w:sz w:val="44"/>
        </w:rPr>
      </w:pPr>
      <w:bookmarkStart w:id="32" w:name="_GoBack"/>
      <w:bookmarkEnd w:id="32"/>
    </w:p>
    <w:p w14:paraId="5DB1AFC0">
      <w:pPr>
        <w:spacing w:line="360" w:lineRule="auto"/>
        <w:jc w:val="center"/>
        <w:rPr>
          <w:rFonts w:ascii="Times New Roman" w:hAnsi="Times New Roman" w:eastAsia="仿宋_GB2312" w:cs="Times New Roman"/>
          <w:sz w:val="44"/>
        </w:rPr>
      </w:pPr>
    </w:p>
    <w:p w14:paraId="04B04360">
      <w:pPr>
        <w:spacing w:line="360" w:lineRule="auto"/>
        <w:jc w:val="center"/>
        <w:rPr>
          <w:rFonts w:ascii="Times New Roman" w:hAnsi="Times New Roman" w:eastAsia="仿宋_GB2312" w:cs="Times New Roman"/>
          <w:sz w:val="44"/>
        </w:rPr>
      </w:pPr>
    </w:p>
    <w:p w14:paraId="79157F8E">
      <w:pPr>
        <w:spacing w:line="360" w:lineRule="auto"/>
        <w:jc w:val="center"/>
        <w:rPr>
          <w:rFonts w:ascii="Times New Roman" w:hAnsi="Times New Roman" w:eastAsia="仿宋_GB2312" w:cs="Times New Roman"/>
          <w:sz w:val="44"/>
        </w:rPr>
      </w:pPr>
    </w:p>
    <w:p w14:paraId="48CB67F1">
      <w:pPr>
        <w:spacing w:line="360" w:lineRule="auto"/>
        <w:jc w:val="center"/>
        <w:rPr>
          <w:rFonts w:ascii="Times New Roman" w:hAnsi="Times New Roman" w:eastAsia="仿宋_GB2312" w:cs="Times New Roman"/>
          <w:sz w:val="44"/>
        </w:rPr>
      </w:pPr>
    </w:p>
    <w:p w14:paraId="3E5F5E0B">
      <w:pPr>
        <w:spacing w:line="360" w:lineRule="auto"/>
        <w:jc w:val="center"/>
        <w:rPr>
          <w:rFonts w:ascii="Times New Roman" w:hAnsi="Times New Roman" w:eastAsia="仿宋_GB2312" w:cs="Times New Roman"/>
          <w:sz w:val="44"/>
        </w:rPr>
      </w:pPr>
    </w:p>
    <w:p w14:paraId="6BA7AF80">
      <w:pPr>
        <w:spacing w:line="360" w:lineRule="auto"/>
        <w:jc w:val="center"/>
        <w:rPr>
          <w:rFonts w:ascii="Times New Roman" w:hAnsi="Times New Roman" w:eastAsia="仿宋_GB2312" w:cs="Times New Roman"/>
          <w:sz w:val="44"/>
        </w:rPr>
      </w:pPr>
    </w:p>
    <w:p w14:paraId="1C0A1BDF">
      <w:pPr>
        <w:spacing w:line="600" w:lineRule="exact"/>
        <w:jc w:val="center"/>
        <w:rPr>
          <w:rFonts w:ascii="Times New Roman" w:hAnsi="Times New Roman" w:eastAsia="仿宋_GB2312" w:cs="Times New Roman"/>
          <w:sz w:val="34"/>
          <w:szCs w:val="34"/>
        </w:rPr>
      </w:pPr>
      <w:r>
        <w:rPr>
          <w:rFonts w:ascii="Times New Roman" w:hAnsi="Times New Roman" w:eastAsia="仿宋_GB2312" w:cs="Times New Roman"/>
          <w:sz w:val="34"/>
          <w:szCs w:val="34"/>
        </w:rPr>
        <w:t>二</w:t>
      </w:r>
      <w:r>
        <w:rPr>
          <w:rFonts w:ascii="Times New Roman" w:hAnsi="Times New Roman" w:eastAsia="微软雅黑" w:cs="Times New Roman"/>
          <w:sz w:val="34"/>
          <w:szCs w:val="34"/>
        </w:rPr>
        <w:t>〇</w:t>
      </w:r>
      <w:r>
        <w:rPr>
          <w:rFonts w:ascii="Times New Roman" w:hAnsi="Times New Roman" w:eastAsia="仿宋_GB2312" w:cs="Times New Roman"/>
          <w:sz w:val="34"/>
          <w:szCs w:val="34"/>
        </w:rPr>
        <w:t>二五年</w:t>
      </w:r>
      <w:r>
        <w:rPr>
          <w:rFonts w:hint="eastAsia" w:ascii="Times New Roman" w:hAnsi="Times New Roman" w:eastAsia="仿宋_GB2312" w:cs="Times New Roman"/>
          <w:sz w:val="34"/>
          <w:szCs w:val="34"/>
        </w:rPr>
        <w:t>十一</w:t>
      </w:r>
      <w:r>
        <w:rPr>
          <w:rFonts w:ascii="Times New Roman" w:hAnsi="Times New Roman" w:eastAsia="仿宋_GB2312" w:cs="Times New Roman"/>
          <w:sz w:val="34"/>
          <w:szCs w:val="34"/>
        </w:rPr>
        <w:t xml:space="preserve">月 </w:t>
      </w:r>
    </w:p>
    <w:p w14:paraId="4ADBF2CF">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sdt>
      <w:sdtPr>
        <w:rPr>
          <w:rFonts w:ascii="Times New Roman" w:hAnsi="Times New Roman" w:eastAsia="仿宋_GB2312" w:cs="Times New Roman"/>
          <w:color w:val="auto"/>
          <w:kern w:val="2"/>
          <w:sz w:val="21"/>
          <w:szCs w:val="22"/>
          <w:lang w:val="zh-CN"/>
        </w:rPr>
        <w:id w:val="-2134548138"/>
        <w:docPartObj>
          <w:docPartGallery w:val="Table of Contents"/>
          <w:docPartUnique/>
        </w:docPartObj>
      </w:sdtPr>
      <w:sdtEndPr>
        <w:rPr>
          <w:rFonts w:ascii="Times New Roman" w:hAnsi="Times New Roman" w:eastAsia="仿宋_GB2312" w:cs="Times New Roman"/>
          <w:b/>
          <w:bCs/>
          <w:color w:val="auto"/>
          <w:kern w:val="2"/>
          <w:sz w:val="21"/>
          <w:szCs w:val="22"/>
          <w:lang w:val="zh-CN"/>
        </w:rPr>
      </w:sdtEndPr>
      <w:sdtContent>
        <w:p w14:paraId="72FEBCE6">
          <w:pPr>
            <w:pStyle w:val="22"/>
            <w:jc w:val="center"/>
            <w:rPr>
              <w:rFonts w:ascii="Times New Roman" w:hAnsi="Times New Roman" w:eastAsia="仿宋_GB2312" w:cs="Times New Roman"/>
              <w:b/>
              <w:bCs/>
              <w:color w:val="auto"/>
              <w:sz w:val="34"/>
              <w:szCs w:val="34"/>
            </w:rPr>
          </w:pPr>
          <w:r>
            <w:rPr>
              <w:rFonts w:ascii="Times New Roman" w:hAnsi="Times New Roman" w:eastAsia="仿宋_GB2312" w:cs="Times New Roman"/>
              <w:b/>
              <w:bCs/>
              <w:color w:val="auto"/>
              <w:sz w:val="34"/>
              <w:szCs w:val="34"/>
              <w:lang w:val="zh-CN"/>
            </w:rPr>
            <w:t>目录</w:t>
          </w:r>
        </w:p>
        <w:p w14:paraId="7202DECE">
          <w:pPr>
            <w:pStyle w:val="8"/>
            <w:tabs>
              <w:tab w:val="right" w:leader="dot" w:pos="8296"/>
            </w:tabs>
            <w:rPr>
              <w:rFonts w:ascii="Times New Roman" w:hAnsi="Times New Roman" w:eastAsia="仿宋_GB2312" w:cs="Times New Roman"/>
              <w:sz w:val="34"/>
              <w:szCs w:val="34"/>
              <w14:ligatures w14:val="standardContextual"/>
            </w:rPr>
          </w:pP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TOC \o "1-3" \h \z \u </w:instrText>
          </w:r>
          <w:r>
            <w:rPr>
              <w:rFonts w:ascii="Times New Roman" w:hAnsi="Times New Roman" w:eastAsia="仿宋_GB2312" w:cs="Times New Roman"/>
              <w:sz w:val="34"/>
              <w:szCs w:val="34"/>
            </w:rPr>
            <w:fldChar w:fldCharType="separate"/>
          </w:r>
          <w:r>
            <w:fldChar w:fldCharType="begin"/>
          </w:r>
          <w:r>
            <w:instrText xml:space="preserve"> HYPERLINK \l "_Toc210566605" </w:instrText>
          </w:r>
          <w:r>
            <w:fldChar w:fldCharType="separate"/>
          </w:r>
          <w:r>
            <w:rPr>
              <w:rStyle w:val="15"/>
              <w:rFonts w:ascii="Times New Roman" w:hAnsi="Times New Roman" w:eastAsia="仿宋_GB2312" w:cs="Times New Roman"/>
              <w:sz w:val="34"/>
              <w:szCs w:val="34"/>
            </w:rPr>
            <w:t>前言</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_Toc210566605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1</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732A8436">
          <w:pPr>
            <w:pStyle w:val="8"/>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"_Toc210566606" </w:instrText>
          </w:r>
          <w:r>
            <w:fldChar w:fldCharType="separate"/>
          </w:r>
          <w:r>
            <w:rPr>
              <w:rStyle w:val="15"/>
              <w:rFonts w:ascii="Times New Roman" w:hAnsi="Times New Roman" w:eastAsia="仿宋_GB2312" w:cs="Times New Roman"/>
              <w:sz w:val="34"/>
              <w:szCs w:val="34"/>
            </w:rPr>
            <w:t>第一章 发展现状</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_Toc210566606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3</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411F03BA">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"_Toc210566607" </w:instrText>
          </w:r>
          <w:r>
            <w:fldChar w:fldCharType="separate"/>
          </w:r>
          <w:r>
            <w:rPr>
              <w:rStyle w:val="15"/>
              <w:rFonts w:ascii="Times New Roman" w:hAnsi="Times New Roman" w:eastAsia="仿宋_GB2312" w:cs="Times New Roman"/>
              <w:sz w:val="34"/>
              <w:szCs w:val="34"/>
            </w:rPr>
            <w:t>（一）基本情况</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_Toc210566607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3</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5DDED700">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"_Toc210566608" </w:instrText>
          </w:r>
          <w:r>
            <w:fldChar w:fldCharType="separate"/>
          </w:r>
          <w:r>
            <w:rPr>
              <w:rStyle w:val="15"/>
              <w:rFonts w:ascii="Times New Roman" w:hAnsi="Times New Roman" w:eastAsia="仿宋_GB2312" w:cs="Times New Roman"/>
              <w:sz w:val="34"/>
              <w:szCs w:val="34"/>
            </w:rPr>
            <w:t>（二）保护成效</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_Toc210566608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4</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48EB126F">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"_Toc210566609" </w:instrText>
          </w:r>
          <w:r>
            <w:fldChar w:fldCharType="separate"/>
          </w:r>
          <w:r>
            <w:rPr>
              <w:rStyle w:val="15"/>
              <w:rFonts w:ascii="Times New Roman" w:hAnsi="Times New Roman" w:eastAsia="仿宋_GB2312" w:cs="Times New Roman"/>
              <w:sz w:val="34"/>
              <w:szCs w:val="34"/>
            </w:rPr>
            <w:t>（三）机遇挑战</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_Toc210566609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5</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7D2F1AB1">
          <w:pPr>
            <w:pStyle w:val="8"/>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"_Toc210566610" </w:instrText>
          </w:r>
          <w:r>
            <w:fldChar w:fldCharType="separate"/>
          </w:r>
          <w:r>
            <w:rPr>
              <w:rStyle w:val="15"/>
              <w:rFonts w:ascii="Times New Roman" w:hAnsi="Times New Roman" w:eastAsia="仿宋_GB2312" w:cs="Times New Roman"/>
              <w:sz w:val="34"/>
              <w:szCs w:val="34"/>
            </w:rPr>
            <w:t>第二章 总体要求</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_Toc210566610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7</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131FE77F">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"_Toc210566611" </w:instrText>
          </w:r>
          <w:r>
            <w:fldChar w:fldCharType="separate"/>
          </w:r>
          <w:r>
            <w:rPr>
              <w:rStyle w:val="15"/>
              <w:rFonts w:ascii="Times New Roman" w:hAnsi="Times New Roman" w:eastAsia="仿宋_GB2312" w:cs="Times New Roman"/>
              <w:sz w:val="34"/>
              <w:szCs w:val="34"/>
            </w:rPr>
            <w:t>（一）指导思想</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_Toc210566611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7</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4A00BBE4">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"_Toc210566612" </w:instrText>
          </w:r>
          <w:r>
            <w:fldChar w:fldCharType="separate"/>
          </w:r>
          <w:r>
            <w:rPr>
              <w:rStyle w:val="15"/>
              <w:rFonts w:ascii="Times New Roman" w:hAnsi="Times New Roman" w:eastAsia="仿宋_GB2312" w:cs="Times New Roman"/>
              <w:sz w:val="34"/>
              <w:szCs w:val="34"/>
            </w:rPr>
            <w:t>（二）基本原则</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_Toc210566612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8</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193501FB">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"_Toc210566613" </w:instrText>
          </w:r>
          <w:r>
            <w:fldChar w:fldCharType="separate"/>
          </w:r>
          <w:r>
            <w:rPr>
              <w:rStyle w:val="15"/>
              <w:rFonts w:ascii="Times New Roman" w:hAnsi="Times New Roman" w:eastAsia="仿宋_GB2312" w:cs="Times New Roman"/>
              <w:sz w:val="34"/>
              <w:szCs w:val="34"/>
            </w:rPr>
            <w:t>（三）规划目标</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_Toc210566613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9</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2199C018">
          <w:pPr>
            <w:pStyle w:val="8"/>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"_Toc210566614" </w:instrText>
          </w:r>
          <w:r>
            <w:fldChar w:fldCharType="separate"/>
          </w:r>
          <w:r>
            <w:rPr>
              <w:rStyle w:val="15"/>
              <w:rFonts w:ascii="Times New Roman" w:hAnsi="Times New Roman" w:eastAsia="仿宋_GB2312" w:cs="Times New Roman"/>
              <w:sz w:val="34"/>
              <w:szCs w:val="34"/>
            </w:rPr>
            <w:t>第三章 空间格局</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_Toc210566614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10</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226B1E41">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"_Toc210566615" </w:instrText>
          </w:r>
          <w:r>
            <w:fldChar w:fldCharType="separate"/>
          </w:r>
          <w:r>
            <w:rPr>
              <w:rStyle w:val="15"/>
              <w:rFonts w:ascii="Times New Roman" w:hAnsi="Times New Roman" w:eastAsia="仿宋_GB2312" w:cs="Times New Roman"/>
              <w:sz w:val="34"/>
              <w:szCs w:val="34"/>
            </w:rPr>
            <w:t>（一）重要湿地</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_Toc210566615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10</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02746CAC">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"_Toc210566616" </w:instrText>
          </w:r>
          <w:r>
            <w:fldChar w:fldCharType="separate"/>
          </w:r>
          <w:r>
            <w:rPr>
              <w:rStyle w:val="15"/>
              <w:rFonts w:ascii="Times New Roman" w:hAnsi="Times New Roman" w:eastAsia="仿宋_GB2312" w:cs="Times New Roman"/>
              <w:sz w:val="34"/>
              <w:szCs w:val="34"/>
            </w:rPr>
            <w:t>（二）一般湿地</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_Toc210566616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12</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4779B9C8">
          <w:pPr>
            <w:pStyle w:val="8"/>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"_Toc210566617" </w:instrText>
          </w:r>
          <w:r>
            <w:fldChar w:fldCharType="separate"/>
          </w:r>
          <w:r>
            <w:rPr>
              <w:rStyle w:val="15"/>
              <w:rFonts w:ascii="Times New Roman" w:hAnsi="Times New Roman" w:eastAsia="仿宋_GB2312" w:cs="Times New Roman"/>
              <w:sz w:val="34"/>
              <w:szCs w:val="34"/>
            </w:rPr>
            <w:t>第四章 重点任务</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_Toc210566617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14</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23D90973">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"_Toc210566618" </w:instrText>
          </w:r>
          <w:r>
            <w:fldChar w:fldCharType="separate"/>
          </w:r>
          <w:r>
            <w:rPr>
              <w:rStyle w:val="15"/>
              <w:rFonts w:ascii="Times New Roman" w:hAnsi="Times New Roman" w:eastAsia="仿宋_GB2312" w:cs="Times New Roman"/>
              <w:sz w:val="34"/>
              <w:szCs w:val="34"/>
            </w:rPr>
            <w:t>（一）实行湿地面积总量管控</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_Toc210566618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14</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584C3873">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"_Toc210566619" </w:instrText>
          </w:r>
          <w:r>
            <w:fldChar w:fldCharType="separate"/>
          </w:r>
          <w:r>
            <w:rPr>
              <w:rStyle w:val="15"/>
              <w:rFonts w:ascii="Times New Roman" w:hAnsi="Times New Roman" w:eastAsia="仿宋_GB2312" w:cs="Times New Roman"/>
              <w:sz w:val="34"/>
              <w:szCs w:val="34"/>
            </w:rPr>
            <w:t>（二）完善湿地分级保护体系</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_Toc210566619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15</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7F1E6C0A">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"_Toc210566620" </w:instrText>
          </w:r>
          <w:r>
            <w:fldChar w:fldCharType="separate"/>
          </w:r>
          <w:r>
            <w:rPr>
              <w:rStyle w:val="15"/>
              <w:rFonts w:ascii="Times New Roman" w:hAnsi="Times New Roman" w:eastAsia="仿宋_GB2312" w:cs="Times New Roman"/>
              <w:sz w:val="34"/>
              <w:szCs w:val="34"/>
            </w:rPr>
            <w:t>（三）实施湿地保护修复工程</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_Toc210566620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16</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4D23BAC9">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"_Toc210566621" </w:instrText>
          </w:r>
          <w:r>
            <w:fldChar w:fldCharType="separate"/>
          </w:r>
          <w:r>
            <w:rPr>
              <w:rStyle w:val="15"/>
              <w:rFonts w:ascii="Times New Roman" w:hAnsi="Times New Roman" w:eastAsia="仿宋_GB2312" w:cs="Times New Roman"/>
              <w:sz w:val="34"/>
              <w:szCs w:val="34"/>
            </w:rPr>
            <w:t>（四）探索湿地持续利用方式</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_Toc210566621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17</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6EC1944C">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"_Toc210566622" </w:instrText>
          </w:r>
          <w:r>
            <w:fldChar w:fldCharType="separate"/>
          </w:r>
          <w:r>
            <w:rPr>
              <w:rStyle w:val="15"/>
              <w:rFonts w:ascii="Times New Roman" w:hAnsi="Times New Roman" w:eastAsia="仿宋_GB2312" w:cs="Times New Roman"/>
              <w:sz w:val="34"/>
              <w:szCs w:val="34"/>
            </w:rPr>
            <w:t>（五）强化湿地监测评估</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_Toc210566622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19</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13631B4D">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"_Toc210566623" </w:instrText>
          </w:r>
          <w:r>
            <w:fldChar w:fldCharType="separate"/>
          </w:r>
          <w:r>
            <w:rPr>
              <w:rStyle w:val="15"/>
              <w:rFonts w:ascii="Times New Roman" w:hAnsi="Times New Roman" w:eastAsia="仿宋_GB2312" w:cs="Times New Roman"/>
              <w:sz w:val="34"/>
              <w:szCs w:val="34"/>
            </w:rPr>
            <w:t>（六）注重湿地保护合作交流</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_Toc210566623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20</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5C1B1DD5">
          <w:pPr>
            <w:pStyle w:val="8"/>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"_Toc210566624" </w:instrText>
          </w:r>
          <w:r>
            <w:fldChar w:fldCharType="separate"/>
          </w:r>
          <w:r>
            <w:rPr>
              <w:rStyle w:val="15"/>
              <w:rFonts w:ascii="Times New Roman" w:hAnsi="Times New Roman" w:eastAsia="仿宋_GB2312" w:cs="Times New Roman"/>
              <w:sz w:val="34"/>
              <w:szCs w:val="34"/>
            </w:rPr>
            <w:t>第五章 保障措施</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_Toc210566624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21</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17544B73">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"_Toc210566625" </w:instrText>
          </w:r>
          <w:r>
            <w:fldChar w:fldCharType="separate"/>
          </w:r>
          <w:r>
            <w:rPr>
              <w:rStyle w:val="15"/>
              <w:rFonts w:ascii="Times New Roman" w:hAnsi="Times New Roman" w:eastAsia="仿宋_GB2312" w:cs="Times New Roman"/>
              <w:sz w:val="34"/>
              <w:szCs w:val="34"/>
            </w:rPr>
            <w:t>（一）加强组织推动</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_Toc210566625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21</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17DF30CE">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"_Toc210566626" </w:instrText>
          </w:r>
          <w:r>
            <w:fldChar w:fldCharType="separate"/>
          </w:r>
          <w:r>
            <w:rPr>
              <w:rStyle w:val="15"/>
              <w:rFonts w:ascii="Times New Roman" w:hAnsi="Times New Roman" w:eastAsia="仿宋_GB2312" w:cs="Times New Roman"/>
              <w:sz w:val="34"/>
              <w:szCs w:val="34"/>
            </w:rPr>
            <w:t>（二）完善制度机制</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_Toc210566626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21</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686000E3">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"_Toc210566627" </w:instrText>
          </w:r>
          <w:r>
            <w:fldChar w:fldCharType="separate"/>
          </w:r>
          <w:r>
            <w:rPr>
              <w:rStyle w:val="15"/>
              <w:rFonts w:ascii="Times New Roman" w:hAnsi="Times New Roman" w:eastAsia="仿宋_GB2312" w:cs="Times New Roman"/>
              <w:sz w:val="34"/>
              <w:szCs w:val="34"/>
            </w:rPr>
            <w:t>（三）落实规划传导</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_Toc210566627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22</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460EEB31">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"_Toc210566628" </w:instrText>
          </w:r>
          <w:r>
            <w:fldChar w:fldCharType="separate"/>
          </w:r>
          <w:r>
            <w:rPr>
              <w:rStyle w:val="15"/>
              <w:rFonts w:ascii="Times New Roman" w:hAnsi="Times New Roman" w:eastAsia="仿宋_GB2312" w:cs="Times New Roman"/>
              <w:sz w:val="34"/>
              <w:szCs w:val="34"/>
            </w:rPr>
            <w:t>（四）加强科教宣传</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_Toc210566628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22</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456191C4">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"_Toc210566629" </w:instrText>
          </w:r>
          <w:r>
            <w:fldChar w:fldCharType="separate"/>
          </w:r>
          <w:r>
            <w:rPr>
              <w:rStyle w:val="15"/>
              <w:rFonts w:ascii="Times New Roman" w:hAnsi="Times New Roman" w:eastAsia="仿宋_GB2312" w:cs="Times New Roman"/>
              <w:sz w:val="34"/>
              <w:szCs w:val="34"/>
            </w:rPr>
            <w:t>（五）强化资金保障</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_Toc210566629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23</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4B21D34F">
          <w:pPr>
            <w:pStyle w:val="9"/>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"_Toc210566630" </w:instrText>
          </w:r>
          <w:r>
            <w:fldChar w:fldCharType="separate"/>
          </w:r>
          <w:r>
            <w:rPr>
              <w:rStyle w:val="15"/>
              <w:rFonts w:ascii="Times New Roman" w:hAnsi="Times New Roman" w:eastAsia="仿宋_GB2312" w:cs="Times New Roman"/>
              <w:sz w:val="34"/>
              <w:szCs w:val="34"/>
            </w:rPr>
            <w:t>（六）加强监督管理</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_Toc210566630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23</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6BB465FF">
          <w:pPr>
            <w:pStyle w:val="8"/>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"_Toc210566631" </w:instrText>
          </w:r>
          <w:r>
            <w:fldChar w:fldCharType="separate"/>
          </w:r>
          <w:r>
            <w:rPr>
              <w:rStyle w:val="15"/>
              <w:rFonts w:ascii="Times New Roman" w:hAnsi="Times New Roman" w:eastAsia="仿宋_GB2312" w:cs="Times New Roman"/>
              <w:sz w:val="34"/>
              <w:szCs w:val="34"/>
            </w:rPr>
            <w:t>附表1 武清区重要湿地名录</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_Toc210566631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24</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02B9E1D9">
          <w:pPr>
            <w:pStyle w:val="8"/>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"_Toc210566632" </w:instrText>
          </w:r>
          <w:r>
            <w:fldChar w:fldCharType="separate"/>
          </w:r>
          <w:r>
            <w:rPr>
              <w:rStyle w:val="15"/>
              <w:rFonts w:ascii="Times New Roman" w:hAnsi="Times New Roman" w:eastAsia="仿宋_GB2312" w:cs="Times New Roman"/>
              <w:sz w:val="34"/>
              <w:szCs w:val="34"/>
            </w:rPr>
            <w:t>附表2 武清区一般湿地名录</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_Toc210566632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25</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3019FF33">
          <w:pPr>
            <w:pStyle w:val="8"/>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"_Toc210566633" </w:instrText>
          </w:r>
          <w:r>
            <w:fldChar w:fldCharType="separate"/>
          </w:r>
          <w:r>
            <w:rPr>
              <w:rStyle w:val="15"/>
              <w:rFonts w:ascii="Times New Roman" w:hAnsi="Times New Roman" w:eastAsia="仿宋_GB2312" w:cs="Times New Roman"/>
              <w:sz w:val="34"/>
              <w:szCs w:val="34"/>
            </w:rPr>
            <w:t>附图1 武清区重要湿地分布图</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_Toc210566633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27</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7060184D">
          <w:pPr>
            <w:pStyle w:val="8"/>
            <w:tabs>
              <w:tab w:val="right" w:leader="dot" w:pos="8296"/>
            </w:tabs>
            <w:rPr>
              <w:rFonts w:ascii="Times New Roman" w:hAnsi="Times New Roman" w:eastAsia="仿宋_GB2312" w:cs="Times New Roman"/>
              <w:sz w:val="34"/>
              <w:szCs w:val="34"/>
              <w14:ligatures w14:val="standardContextual"/>
            </w:rPr>
          </w:pPr>
          <w:r>
            <w:fldChar w:fldCharType="begin"/>
          </w:r>
          <w:r>
            <w:instrText xml:space="preserve"> HYPERLINK \l "_Toc210566634" </w:instrText>
          </w:r>
          <w:r>
            <w:fldChar w:fldCharType="separate"/>
          </w:r>
          <w:r>
            <w:rPr>
              <w:rStyle w:val="15"/>
              <w:rFonts w:ascii="Times New Roman" w:hAnsi="Times New Roman" w:eastAsia="仿宋_GB2312" w:cs="Times New Roman"/>
              <w:sz w:val="34"/>
              <w:szCs w:val="34"/>
            </w:rPr>
            <w:t>附图2 武清区湿地分级管控布局图</w:t>
          </w:r>
          <w:r>
            <w:rPr>
              <w:rFonts w:ascii="Times New Roman" w:hAnsi="Times New Roman" w:eastAsia="仿宋_GB2312" w:cs="Times New Roman"/>
              <w:sz w:val="34"/>
              <w:szCs w:val="34"/>
            </w:rPr>
            <w:tab/>
          </w:r>
          <w:r>
            <w:rPr>
              <w:rFonts w:ascii="Times New Roman" w:hAnsi="Times New Roman" w:eastAsia="仿宋_GB2312" w:cs="Times New Roman"/>
              <w:sz w:val="34"/>
              <w:szCs w:val="34"/>
            </w:rPr>
            <w:fldChar w:fldCharType="begin"/>
          </w:r>
          <w:r>
            <w:rPr>
              <w:rFonts w:ascii="Times New Roman" w:hAnsi="Times New Roman" w:eastAsia="仿宋_GB2312" w:cs="Times New Roman"/>
              <w:sz w:val="34"/>
              <w:szCs w:val="34"/>
            </w:rPr>
            <w:instrText xml:space="preserve"> PAGEREF _Toc210566634 \h </w:instrText>
          </w:r>
          <w:r>
            <w:rPr>
              <w:rFonts w:ascii="Times New Roman" w:hAnsi="Times New Roman" w:eastAsia="仿宋_GB2312" w:cs="Times New Roman"/>
              <w:sz w:val="34"/>
              <w:szCs w:val="34"/>
            </w:rPr>
            <w:fldChar w:fldCharType="separate"/>
          </w:r>
          <w:r>
            <w:rPr>
              <w:rFonts w:ascii="Times New Roman" w:hAnsi="Times New Roman" w:eastAsia="仿宋_GB2312" w:cs="Times New Roman"/>
              <w:sz w:val="34"/>
              <w:szCs w:val="34"/>
            </w:rPr>
            <w:t>28</w:t>
          </w:r>
          <w:r>
            <w:rPr>
              <w:rFonts w:ascii="Times New Roman" w:hAnsi="Times New Roman" w:eastAsia="仿宋_GB2312" w:cs="Times New Roman"/>
              <w:sz w:val="34"/>
              <w:szCs w:val="34"/>
            </w:rPr>
            <w:fldChar w:fldCharType="end"/>
          </w:r>
          <w:r>
            <w:rPr>
              <w:rFonts w:ascii="Times New Roman" w:hAnsi="Times New Roman" w:eastAsia="仿宋_GB2312" w:cs="Times New Roman"/>
              <w:sz w:val="34"/>
              <w:szCs w:val="34"/>
            </w:rPr>
            <w:fldChar w:fldCharType="end"/>
          </w:r>
        </w:p>
        <w:p w14:paraId="7AC3A965">
          <w:pPr>
            <w:spacing w:line="600" w:lineRule="exact"/>
            <w:rPr>
              <w:rFonts w:ascii="Times New Roman" w:hAnsi="Times New Roman" w:eastAsia="仿宋_GB2312" w:cs="Times New Roman"/>
            </w:rPr>
          </w:pPr>
          <w:r>
            <w:rPr>
              <w:rFonts w:ascii="Times New Roman" w:hAnsi="Times New Roman" w:eastAsia="仿宋_GB2312" w:cs="Times New Roman"/>
              <w:b/>
              <w:bCs/>
              <w:sz w:val="34"/>
              <w:szCs w:val="34"/>
              <w:lang w:val="zh-CN"/>
            </w:rPr>
            <w:fldChar w:fldCharType="end"/>
          </w:r>
        </w:p>
      </w:sdtContent>
    </w:sdt>
    <w:p w14:paraId="3F46898B">
      <w:pPr>
        <w:widowControl/>
        <w:jc w:val="left"/>
        <w:rPr>
          <w:rFonts w:ascii="Times New Roman" w:hAnsi="Times New Roman" w:eastAsia="仿宋_GB2312" w:cs="Times New Roman"/>
          <w:sz w:val="36"/>
          <w:szCs w:val="36"/>
        </w:rPr>
      </w:pPr>
    </w:p>
    <w:p w14:paraId="10176B19">
      <w:pPr>
        <w:pStyle w:val="2"/>
        <w:jc w:val="center"/>
        <w:rPr>
          <w:rFonts w:ascii="Times New Roman" w:hAnsi="Times New Roman" w:eastAsia="方正小标宋简体" w:cs="Times New Roman"/>
        </w:rPr>
        <w:sectPr>
          <w:footerReference r:id="rId3" w:type="default"/>
          <w:pgSz w:w="11906" w:h="16838"/>
          <w:pgMar w:top="1440" w:right="1800" w:bottom="1440" w:left="1800" w:header="851" w:footer="992" w:gutter="0"/>
          <w:cols w:space="425" w:num="1"/>
          <w:docGrid w:type="lines" w:linePitch="312" w:charSpace="0"/>
        </w:sectPr>
      </w:pPr>
    </w:p>
    <w:p w14:paraId="6D744A23">
      <w:pPr>
        <w:pStyle w:val="2"/>
        <w:jc w:val="center"/>
        <w:rPr>
          <w:rFonts w:ascii="Times New Roman" w:hAnsi="Times New Roman" w:eastAsia="方正小标宋简体" w:cs="Times New Roman"/>
        </w:rPr>
      </w:pPr>
      <w:bookmarkStart w:id="1" w:name="_Toc210566605"/>
      <w:r>
        <w:rPr>
          <w:rFonts w:ascii="Times New Roman" w:hAnsi="Times New Roman" w:eastAsia="方正小标宋简体" w:cs="Times New Roman"/>
        </w:rPr>
        <w:t>前言</w:t>
      </w:r>
      <w:bookmarkEnd w:id="1"/>
    </w:p>
    <w:p w14:paraId="214D196D">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湿地与森林、海洋并称为全球三大生态系统，是人类最重要的生存环境与自然资源之一。健康的湿地生态系统是国家生态安全的重要组成部分和经济社会可持续发展的重要基础，保护湿地对于维护生态平衡，改善生态状况，促进人与自然和谐共生，实现经济社会可持续发展等具有十分重要的意义。</w:t>
      </w:r>
    </w:p>
    <w:p w14:paraId="7F876730">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党的十八大以来，以习近平同志为核心的党中央高度重视湿地保护和修复工作，把湿地保护作为生态文明建设的重要内容，作出了一系列强化湿地保护修复、加强制度建设的决策部署，为我国新时代湿地保护修复工作指明了方向。</w:t>
      </w:r>
    </w:p>
    <w:p w14:paraId="088E8DCF">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党的二十大报告指出，“坚持节约优先、保护优先、自然恢复为主的方针，像保护眼睛一样保护自然和生态环境”“推行草原森林河流湖泊湿地休养生息”。2022年6月1日，《中华人民共和国湿地保护法》正式施行，成为湿地保护工作重要法律依据，并提出各级湿地保护规划编制要求。2023年11月，天津市第十八届人民代表大会常务委员会第六次会议修订通过《天津市湿地保护条例》，对湿地保护提出了相应要求。2022年10月，国家林业和草原局、自然资源部联合印发了《全国湿地保护规划（2022－2030年）》，加强了对全国湿地保护工作的指导。2023年11月，结合全国湿地规划对我市的要求，经市人民政府批复同意，市规划资源局印发了《天津市湿地保护规划（2022—2030年）》，对我市湿地保护工作进行统筹安排，明确了我市湿地保护的总体要求、空间布局和重点任务。</w:t>
      </w:r>
    </w:p>
    <w:p w14:paraId="5FE2EAEE">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2025年2月，《天津市武清区国土空间总体规划（2021—2035年）》获市人民政府批复，规划提出要落实“京津明珠、幸福武清”战略定位要求，至2035年，将武清区建设成为京津冀协同发展先行示范区，科创引领的京津产业新城，国际消费中心城市重要支点，人文绿色的运河公园城市。为实现这一目标，武清区始终牢固树立环境立区理念，坚持保护优先、自然恢复为主，实施生态保护和修复工程，做强水绿生态特色优势。近年来，在持续不断的努力下，全区生态环境展现新面貌，京津冀公园城市建设成效显现。</w:t>
      </w:r>
    </w:p>
    <w:p w14:paraId="1F5B9729">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为贯彻习近平生态文明思想，落实党的二十大以及二十届</w:t>
      </w:r>
      <w:r>
        <w:rPr>
          <w:rFonts w:hint="eastAsia" w:ascii="Times New Roman" w:hAnsi="Times New Roman" w:eastAsia="仿宋_GB2312" w:cs="Times New Roman"/>
          <w:sz w:val="34"/>
          <w:szCs w:val="34"/>
        </w:rPr>
        <w:t>四</w:t>
      </w:r>
      <w:r>
        <w:rPr>
          <w:rFonts w:ascii="Times New Roman" w:hAnsi="Times New Roman" w:eastAsia="仿宋_GB2312" w:cs="Times New Roman"/>
          <w:sz w:val="34"/>
          <w:szCs w:val="34"/>
        </w:rPr>
        <w:t>中全会对生态文明建设部署要求，全面推进美丽中国建设，助力“京津明珠，幸福武清”战略定位建设，按照《中华人民共和国湿地保护法》《天津市湿地保护条例》《天津市湿地保护规划（2022—2030年）》《天津市武清区国土空间总体规划（2021—2035年）》等要求，编制《天津市武清区湿地保护规划（2022—2030年）》。</w:t>
      </w:r>
    </w:p>
    <w:p w14:paraId="272DE9BB">
      <w:pPr>
        <w:widowControl/>
        <w:jc w:val="left"/>
        <w:rPr>
          <w:rFonts w:ascii="Times New Roman" w:hAnsi="Times New Roman" w:eastAsia="仿宋_GB2312" w:cs="Times New Roman"/>
          <w:sz w:val="28"/>
          <w:szCs w:val="28"/>
        </w:rPr>
      </w:pPr>
    </w:p>
    <w:p w14:paraId="276C80BA">
      <w:pPr>
        <w:pStyle w:val="2"/>
        <w:jc w:val="center"/>
        <w:rPr>
          <w:rFonts w:ascii="Times New Roman" w:hAnsi="Times New Roman" w:eastAsia="方正小标宋简体" w:cs="Times New Roman"/>
        </w:rPr>
      </w:pPr>
      <w:bookmarkStart w:id="2" w:name="_Toc210566606"/>
      <w:r>
        <w:rPr>
          <w:rFonts w:ascii="Times New Roman" w:hAnsi="Times New Roman" w:eastAsia="方正小标宋简体" w:cs="Times New Roman"/>
        </w:rPr>
        <w:t>第一章 发展现状</w:t>
      </w:r>
      <w:bookmarkEnd w:id="2"/>
    </w:p>
    <w:p w14:paraId="08933897">
      <w:pPr>
        <w:pStyle w:val="3"/>
        <w:spacing w:before="0" w:after="0" w:line="600" w:lineRule="exact"/>
        <w:rPr>
          <w:rFonts w:ascii="Times New Roman" w:hAnsi="Times New Roman" w:eastAsia="黑体" w:cs="Times New Roman"/>
          <w:sz w:val="34"/>
          <w:szCs w:val="34"/>
        </w:rPr>
      </w:pPr>
      <w:bookmarkStart w:id="3" w:name="_Toc210566607"/>
      <w:r>
        <w:rPr>
          <w:rFonts w:ascii="Times New Roman" w:hAnsi="Times New Roman" w:eastAsia="黑体" w:cs="Times New Roman"/>
          <w:sz w:val="34"/>
          <w:szCs w:val="34"/>
        </w:rPr>
        <w:t>（一）基本情况</w:t>
      </w:r>
      <w:bookmarkEnd w:id="3"/>
    </w:p>
    <w:p w14:paraId="12EEA43E">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依据《中华人民共和国湿地保护法》，湿地是指“具有显著生态功能的自然或者人工的、常年或者季节性积水地带、水域，包括低潮时水深不超过六米的海域，但是水田以及用于养殖的人工的水域和滩涂除外。”</w:t>
      </w:r>
    </w:p>
    <w:p w14:paraId="681F9884">
      <w:pPr>
        <w:spacing w:line="600" w:lineRule="exact"/>
        <w:ind w:firstLine="680" w:firstLineChars="200"/>
        <w:rPr>
          <w:rFonts w:ascii="Times New Roman" w:hAnsi="Times New Roman" w:eastAsia="仿宋_GB2312" w:cs="Times New Roman"/>
          <w:sz w:val="34"/>
          <w:szCs w:val="34"/>
        </w:rPr>
      </w:pPr>
      <w:bookmarkStart w:id="4" w:name="_Hlk194068117"/>
      <w:r>
        <w:rPr>
          <w:rFonts w:ascii="Times New Roman" w:hAnsi="Times New Roman" w:eastAsia="仿宋_GB2312" w:cs="Times New Roman"/>
          <w:sz w:val="34"/>
          <w:szCs w:val="34"/>
        </w:rPr>
        <w:t>基于《全国湿地保护规划（2022－2030年）》湿地确定方法，武清区湿地即2020年度国土变更调查结果确定的“湿地”“水域”（不含养殖水面，下同）和浅海水域，包括沿海滩涂、内陆滩涂、沼泽地、河流水面、水库水面、坑塘水面、沟渠和浅海水域</w:t>
      </w:r>
      <w:bookmarkEnd w:id="4"/>
      <w:r>
        <w:rPr>
          <w:rFonts w:ascii="Times New Roman" w:hAnsi="Times New Roman" w:eastAsia="仿宋_GB2312" w:cs="Times New Roman"/>
          <w:sz w:val="34"/>
          <w:szCs w:val="34"/>
        </w:rPr>
        <w:t>，武清区湿地总面积190.92平方公里。</w:t>
      </w:r>
    </w:p>
    <w:p w14:paraId="1F2AF06C">
      <w:pPr>
        <w:spacing w:line="600" w:lineRule="exact"/>
        <w:ind w:firstLine="680" w:firstLineChars="200"/>
        <w:rPr>
          <w:rFonts w:ascii="Times New Roman" w:hAnsi="Times New Roman" w:eastAsia="仿宋_GB2312" w:cs="Times New Roman"/>
          <w:color w:val="EE0000"/>
          <w:sz w:val="34"/>
          <w:szCs w:val="34"/>
        </w:rPr>
      </w:pPr>
      <w:r>
        <w:rPr>
          <w:rFonts w:ascii="Times New Roman" w:hAnsi="Times New Roman" w:eastAsia="仿宋_GB2312" w:cs="Times New Roman"/>
          <w:sz w:val="34"/>
          <w:szCs w:val="34"/>
        </w:rPr>
        <w:t>依据2020年度国土变更调查，武清区湿地共189.12平方公里，包括沟渠109.28平方公里，占比57.24%；河流水面13.37平方公里，占比7.00%；坑塘水面20.58平方公里，占比10.78%；内陆滩涂面积5.26平方公里，占比2.75%；水库水面8.14平方公里，占比4.27%；沼泽地34.28平方公里，占比17.95%。</w:t>
      </w:r>
    </w:p>
    <w:p w14:paraId="4D562B5C">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武清区位于天津市西北部，海河水系中下游。北与北京市通州区、河北省香河县为邻，南与天津市北辰区、西青区和河北省霸州市相连，东与天津市宝坻区、宁河区搭界，西与河北省廊坊市安次区接壤。武清区地处华北冲积平原下端，地势平缓，自北、西、南向东南海河入海方向倾斜，海拔高度最高13米，最低2.8米。土壤的成土母质多为永定河和北运河的冲积物，土壤均为潮土，分为砂性土、壤质土、粘性土三大类，土层深厚，土质疏松肥沃，宜于农业生产。</w:t>
      </w:r>
    </w:p>
    <w:p w14:paraId="7DCA573D">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武清生态资源丰富，生态环境良好。全区共有北运河等一级河道4条，龙北新河等二级河道7条，拥有上马台金泉湖和下朱庄南湖2座生态水库。总面积104.6平方公里的大黄堡湿地自然保护区为天津市市级自然保护区、万亩津北森林公园为天津最重要的森林生态保护区之一。</w:t>
      </w:r>
    </w:p>
    <w:p w14:paraId="5681B1CD">
      <w:pPr>
        <w:pStyle w:val="3"/>
        <w:spacing w:before="0" w:after="0" w:line="600" w:lineRule="exact"/>
        <w:rPr>
          <w:rFonts w:ascii="Times New Roman" w:hAnsi="Times New Roman" w:eastAsia="黑体" w:cs="Times New Roman"/>
          <w:sz w:val="34"/>
          <w:szCs w:val="34"/>
        </w:rPr>
      </w:pPr>
      <w:bookmarkStart w:id="5" w:name="_Toc210566608"/>
      <w:r>
        <w:rPr>
          <w:rFonts w:ascii="Times New Roman" w:hAnsi="Times New Roman" w:eastAsia="黑体" w:cs="Times New Roman"/>
          <w:sz w:val="34"/>
          <w:szCs w:val="34"/>
        </w:rPr>
        <w:t>（二）保护成效</w:t>
      </w:r>
      <w:bookmarkEnd w:id="5"/>
    </w:p>
    <w:p w14:paraId="0175BF80">
      <w:pPr>
        <w:spacing w:line="600" w:lineRule="exact"/>
        <w:ind w:firstLine="683" w:firstLineChars="200"/>
        <w:rPr>
          <w:rFonts w:ascii="Times New Roman" w:hAnsi="Times New Roman" w:eastAsia="仿宋_GB2312" w:cs="Times New Roman"/>
          <w:sz w:val="34"/>
          <w:szCs w:val="34"/>
        </w:rPr>
      </w:pPr>
      <w:r>
        <w:rPr>
          <w:rFonts w:ascii="Times New Roman" w:hAnsi="Times New Roman" w:eastAsia="仿宋_GB2312" w:cs="Times New Roman"/>
          <w:b/>
          <w:bCs/>
          <w:sz w:val="34"/>
          <w:szCs w:val="34"/>
        </w:rPr>
        <w:t>生态环境保护成效显著。</w:t>
      </w:r>
      <w:r>
        <w:rPr>
          <w:rFonts w:ascii="Times New Roman" w:hAnsi="Times New Roman" w:eastAsia="仿宋_GB2312" w:cs="Times New Roman"/>
          <w:sz w:val="34"/>
          <w:szCs w:val="34"/>
        </w:rPr>
        <w:t>多年来，武清始终坚持践行“绿水青山就是金山银山”理念，将区域生态环境建设的“小棋子”，融入京津冀携手打造碧水蓝天净土的“大棋局”，扎实推进大黄堡湿地保护修复，实施水系修复、鸟类保护、护林保湿等工程，完成大黄堡湿地保护区核心区、缓冲区70.47平方公里违建拆除和生态修复工作，湿地生态功能显著提升。建成永定河故道国家湿地公园、翠亨路生态绿廊。河长田长林长多长联动，生态环保长效机制有效落实。</w:t>
      </w:r>
    </w:p>
    <w:p w14:paraId="33A3AFD7">
      <w:pPr>
        <w:spacing w:line="600" w:lineRule="exact"/>
        <w:ind w:firstLine="683" w:firstLineChars="200"/>
        <w:rPr>
          <w:rFonts w:ascii="Times New Roman" w:hAnsi="Times New Roman" w:eastAsia="仿宋_GB2312" w:cs="Times New Roman"/>
          <w:sz w:val="34"/>
          <w:szCs w:val="34"/>
        </w:rPr>
      </w:pPr>
      <w:r>
        <w:rPr>
          <w:rFonts w:hint="eastAsia" w:ascii="Times New Roman" w:hAnsi="Times New Roman" w:eastAsia="仿宋_GB2312" w:cs="Times New Roman"/>
          <w:b/>
          <w:bCs/>
          <w:sz w:val="34"/>
          <w:szCs w:val="34"/>
        </w:rPr>
        <w:t>湿地公园建设工作获得认可。</w:t>
      </w:r>
      <w:r>
        <w:rPr>
          <w:rFonts w:hint="eastAsia" w:ascii="Times New Roman" w:hAnsi="Times New Roman" w:eastAsia="仿宋_GB2312" w:cs="Times New Roman"/>
          <w:sz w:val="34"/>
          <w:szCs w:val="34"/>
        </w:rPr>
        <w:t>武清区湿地公园的各项工作有序开展，规章制度建立完善，基础设施基本满足公园管理与服务功能需要，巡护巡查工作有序进行，科普宣教和科研监测能力逐步提升，湿地资源得到有效保护与恢复。完成了《天津武清永定河故道国家湿地公园修复与保护工程》、《天津武清永定河故道国家湿地公园保护与修复工程》，正在推进《天津武清永定河故道国家湿地宣教中心建设工程》、《天津武清永定河故道国家湿地公园保护与修复工程（2020年）》等。2019年12月，永定河故道国家湿地公园通过国家林草局验收，正式成为“国家湿地公园”。</w:t>
      </w:r>
    </w:p>
    <w:p w14:paraId="1D404F3E">
      <w:pPr>
        <w:pStyle w:val="3"/>
        <w:spacing w:before="0" w:after="0" w:line="600" w:lineRule="exact"/>
        <w:rPr>
          <w:rFonts w:ascii="Times New Roman" w:hAnsi="Times New Roman" w:eastAsia="黑体" w:cs="Times New Roman"/>
          <w:sz w:val="34"/>
          <w:szCs w:val="34"/>
        </w:rPr>
      </w:pPr>
      <w:bookmarkStart w:id="6" w:name="_Toc210566609"/>
      <w:r>
        <w:rPr>
          <w:rFonts w:ascii="Times New Roman" w:hAnsi="Times New Roman" w:eastAsia="黑体" w:cs="Times New Roman"/>
          <w:sz w:val="34"/>
          <w:szCs w:val="34"/>
        </w:rPr>
        <w:t>（三）机遇挑战</w:t>
      </w:r>
      <w:bookmarkEnd w:id="6"/>
    </w:p>
    <w:p w14:paraId="472CCAC7">
      <w:pPr>
        <w:spacing w:line="600" w:lineRule="exact"/>
        <w:ind w:firstLine="683" w:firstLineChars="200"/>
        <w:rPr>
          <w:rFonts w:ascii="Times New Roman" w:hAnsi="Times New Roman" w:eastAsia="仿宋_GB2312" w:cs="Times New Roman"/>
          <w:sz w:val="34"/>
          <w:szCs w:val="34"/>
        </w:rPr>
      </w:pPr>
      <w:r>
        <w:rPr>
          <w:rFonts w:ascii="Times New Roman" w:hAnsi="Times New Roman" w:eastAsia="仿宋_GB2312" w:cs="Times New Roman"/>
          <w:b/>
          <w:bCs/>
          <w:sz w:val="34"/>
          <w:szCs w:val="34"/>
        </w:rPr>
        <w:t>发展机遇：</w:t>
      </w:r>
      <w:r>
        <w:rPr>
          <w:rFonts w:ascii="Times New Roman" w:hAnsi="Times New Roman" w:eastAsia="仿宋_GB2312" w:cs="Times New Roman"/>
          <w:sz w:val="34"/>
          <w:szCs w:val="34"/>
        </w:rPr>
        <w:t>党和国家提出多项法律法规、政策文件，全方位、全地域、全过程加强生态环境保护，生态环境保护发生历史性、转折性、全局性变化，湿地保护工作面临全新的发展机遇。</w:t>
      </w:r>
    </w:p>
    <w:p w14:paraId="1C6BFDB0">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——习近平生态文明思想为湿地保护提供科学指引。习近平总书记对湿地保护修复作出的系列重要指示、批示和论述是天津开展湿地保护修复工作的根本遵循。</w:t>
      </w:r>
      <w:r>
        <w:rPr>
          <w:rFonts w:hint="eastAsia" w:ascii="Times New Roman" w:hAnsi="Times New Roman" w:eastAsia="仿宋_GB2312" w:cs="Times New Roman"/>
          <w:sz w:val="34"/>
          <w:szCs w:val="34"/>
        </w:rPr>
        <w:t>2025年10月25日党的二十届四中全会通过《中共中央关于制定国民经济和社会发展第十五个五年规划的建议》，其中提到“美丽中国建设取得新的重大进展” “生态系统多样性稳定性持续性不断提升” “坚持山水林田湖草沙一体化保护和系统治理，统筹推进重要生态系统保护和修复重大工程”。</w:t>
      </w:r>
      <w:r>
        <w:rPr>
          <w:rFonts w:ascii="Times New Roman" w:hAnsi="Times New Roman" w:eastAsia="仿宋_GB2312" w:cs="Times New Roman"/>
          <w:sz w:val="34"/>
          <w:szCs w:val="34"/>
        </w:rPr>
        <w:t>推进武清区湿地保护工作，</w:t>
      </w:r>
      <w:r>
        <w:rPr>
          <w:rFonts w:hint="eastAsia" w:ascii="Times New Roman" w:hAnsi="Times New Roman" w:eastAsia="仿宋_GB2312" w:cs="Times New Roman"/>
          <w:sz w:val="34"/>
          <w:szCs w:val="34"/>
        </w:rPr>
        <w:t>统筹推进重要湿地的生态保护和修复工作，维护湿地生态系统多样性稳定性，为建设美丽中国贡献武清力量</w:t>
      </w:r>
      <w:r>
        <w:rPr>
          <w:rFonts w:ascii="Times New Roman" w:hAnsi="Times New Roman" w:eastAsia="仿宋_GB2312" w:cs="Times New Roman"/>
          <w:sz w:val="34"/>
          <w:szCs w:val="34"/>
        </w:rPr>
        <w:t>。</w:t>
      </w:r>
    </w:p>
    <w:p w14:paraId="75F00C5F">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中华人民共和国湿地保护法》及《天津市湿地保护条例》是湿地保护修复工作的法治保障。为加强湿地保护，维护湿地生态功能及生物多样性，保障生态安全，促进生态文明建设，实现人与自然和谐共生，国家制定《中华人民共和国湿地保护法》，天津市人民代表大会修订了《天津市湿地保护条例》，为湿地保护提供法律法规保障。</w:t>
      </w:r>
    </w:p>
    <w:p w14:paraId="151784A3">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天津市委、市政府对湿地保护工作提出更高要求。天津市发布《关于全面推进美丽天津建设的实施意见》，提出要加大生态系统保护力度，构筑市域“七廊五湖四湿地”水系生态网络。加强湿地保护，维护湿地生态功能和生物多样性，保障生态安全，促进生态文明建设，实现人与自然和谐共生。武清区大黄堡国家重要湿地是全市水系生态网络的重要组成部分，需加强保护措施，助力美丽天津建设。</w:t>
      </w:r>
    </w:p>
    <w:p w14:paraId="424818E3">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响应新时代生态文明建设要求，为推进人与自然和谐共生探索新标杆。严守生态安全底线，打造山水林田湖草生命共同体，探索以生态优先、绿色发展为导向的新路子，提升国土空间综合承载能力，努力将武清区打造为天津生态文明建设典范。</w:t>
      </w:r>
    </w:p>
    <w:p w14:paraId="62EF94BB">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广大市民对优美湿地生态环境提出更高期待。随着生活品质的不断提升和环保意识的日益增强，民众对身边湿地生态环境的优美程度提出了更具体的热切期待，期待湿地提供更高水平的生态系统服务，包括生态安全保障、生态产品供给、生态环境调节、生态游憩支持等。</w:t>
      </w:r>
    </w:p>
    <w:p w14:paraId="00F5BBA2">
      <w:pPr>
        <w:spacing w:line="600" w:lineRule="exact"/>
        <w:ind w:firstLine="683" w:firstLineChars="200"/>
        <w:rPr>
          <w:rFonts w:ascii="Times New Roman" w:hAnsi="Times New Roman" w:eastAsia="仿宋_GB2312" w:cs="Times New Roman"/>
          <w:sz w:val="34"/>
          <w:szCs w:val="34"/>
        </w:rPr>
      </w:pPr>
      <w:r>
        <w:rPr>
          <w:rFonts w:ascii="Times New Roman" w:hAnsi="Times New Roman" w:eastAsia="仿宋_GB2312" w:cs="Times New Roman"/>
          <w:b/>
          <w:bCs/>
          <w:sz w:val="34"/>
          <w:szCs w:val="34"/>
        </w:rPr>
        <w:t>面临挑战：</w:t>
      </w:r>
      <w:r>
        <w:rPr>
          <w:rFonts w:ascii="Times New Roman" w:hAnsi="Times New Roman" w:eastAsia="仿宋_GB2312" w:cs="Times New Roman"/>
          <w:sz w:val="34"/>
          <w:szCs w:val="34"/>
        </w:rPr>
        <w:t>武清区积极推进湿地保护修复工作，取得明显生态效果，但与国际国内先进水平相比还存在一定差距，湿地保护修复工作有待进一步加强。受自然环境变化和人为活动干扰等因素影响，特别是湿地生态用水保障还未得到根本解决，一些湿地还面临因缺水导致退化的风险；尚未公布一般湿地名录，湿地分级管理有待加强；湿地监测水平有待提升，监测设施与信息化管理水平相对不足；湿地保护多部门协作机制有待完善，</w:t>
      </w:r>
      <w:r>
        <w:rPr>
          <w:rFonts w:hint="eastAsia" w:ascii="Times New Roman" w:hAnsi="Times New Roman" w:eastAsia="仿宋_GB2312" w:cs="Times New Roman"/>
          <w:sz w:val="34"/>
          <w:szCs w:val="34"/>
        </w:rPr>
        <w:t>湿地管理工作人员专业性有待加强，</w:t>
      </w:r>
      <w:r>
        <w:rPr>
          <w:rFonts w:ascii="Times New Roman" w:hAnsi="Times New Roman" w:eastAsia="仿宋_GB2312" w:cs="Times New Roman"/>
          <w:sz w:val="34"/>
          <w:szCs w:val="34"/>
        </w:rPr>
        <w:t>湿地管理机构能力建设较先进省市还存在较大差距；湿地生态效益和经济效益未实现有机统一绿水青山转化为更多金山银山的抓手不够，生态产业化和产业生态化研究不足、招法不多，湿地资源生态产品价值实现机制尚待完善，与人民群众对湿地生态产品的期盼差距较大。</w:t>
      </w:r>
    </w:p>
    <w:p w14:paraId="6E2BE62E">
      <w:pPr>
        <w:pStyle w:val="2"/>
        <w:jc w:val="center"/>
        <w:rPr>
          <w:rFonts w:ascii="Times New Roman" w:hAnsi="Times New Roman" w:eastAsia="方正小标宋简体" w:cs="Times New Roman"/>
        </w:rPr>
      </w:pPr>
      <w:bookmarkStart w:id="7" w:name="_Toc210566610"/>
      <w:r>
        <w:rPr>
          <w:rFonts w:ascii="Times New Roman" w:hAnsi="Times New Roman" w:eastAsia="方正小标宋简体" w:cs="Times New Roman"/>
        </w:rPr>
        <w:t>第二章 总体要求</w:t>
      </w:r>
      <w:bookmarkEnd w:id="7"/>
    </w:p>
    <w:p w14:paraId="252A529F">
      <w:pPr>
        <w:pStyle w:val="3"/>
        <w:spacing w:before="0" w:after="0" w:line="600" w:lineRule="exact"/>
        <w:rPr>
          <w:rFonts w:ascii="Times New Roman" w:hAnsi="Times New Roman" w:eastAsia="黑体" w:cs="Times New Roman"/>
          <w:sz w:val="34"/>
          <w:szCs w:val="34"/>
        </w:rPr>
      </w:pPr>
      <w:bookmarkStart w:id="8" w:name="_Toc210566611"/>
      <w:r>
        <w:rPr>
          <w:rFonts w:ascii="Times New Roman" w:hAnsi="Times New Roman" w:eastAsia="黑体" w:cs="Times New Roman"/>
          <w:sz w:val="34"/>
          <w:szCs w:val="34"/>
        </w:rPr>
        <w:t>（一）指导思想</w:t>
      </w:r>
      <w:bookmarkEnd w:id="8"/>
    </w:p>
    <w:p w14:paraId="63B06FF5">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以习近平新时代中国特色社会主义思想为指导，全面贯彻党的二十大精神，牢固树立“绿水青山就是金山银山”“山水林田湖草沙是生命共同体”的绿色发展理念，落实习近平总书记对天津工作提出的四个“善作善成”重要要求，贯彻实施《中华人民共和国湿地保护法》，按照天津市第十二次党代会部署，坚定不移走生态优先、绿色发展之路，切实维护湿地生态功能，完善湿地保护管理体系，全面提升湿地保护水平，助力京津冀生态协同发展，加快建设生态武清。</w:t>
      </w:r>
    </w:p>
    <w:p w14:paraId="02C3EDD0">
      <w:pPr>
        <w:pStyle w:val="3"/>
        <w:spacing w:before="0" w:after="0" w:line="600" w:lineRule="exact"/>
        <w:rPr>
          <w:rFonts w:ascii="Times New Roman" w:hAnsi="Times New Roman" w:eastAsia="黑体" w:cs="Times New Roman"/>
          <w:sz w:val="34"/>
          <w:szCs w:val="34"/>
        </w:rPr>
      </w:pPr>
      <w:bookmarkStart w:id="9" w:name="_Toc210566612"/>
      <w:r>
        <w:rPr>
          <w:rFonts w:ascii="Times New Roman" w:hAnsi="Times New Roman" w:eastAsia="黑体" w:cs="Times New Roman"/>
          <w:sz w:val="34"/>
          <w:szCs w:val="34"/>
        </w:rPr>
        <w:t>（二）基本原则</w:t>
      </w:r>
      <w:bookmarkEnd w:id="9"/>
    </w:p>
    <w:p w14:paraId="3186F5F1">
      <w:pPr>
        <w:spacing w:line="600" w:lineRule="exact"/>
        <w:ind w:firstLine="683" w:firstLineChars="200"/>
        <w:rPr>
          <w:rFonts w:ascii="Times New Roman" w:hAnsi="Times New Roman" w:eastAsia="仿宋_GB2312" w:cs="Times New Roman"/>
          <w:sz w:val="34"/>
          <w:szCs w:val="34"/>
        </w:rPr>
      </w:pPr>
      <w:r>
        <w:rPr>
          <w:rFonts w:ascii="Times New Roman" w:hAnsi="Times New Roman" w:eastAsia="仿宋_GB2312" w:cs="Times New Roman"/>
          <w:b/>
          <w:bCs/>
          <w:sz w:val="34"/>
          <w:szCs w:val="34"/>
        </w:rPr>
        <w:t>生态优先、保护为主。</w:t>
      </w:r>
      <w:r>
        <w:rPr>
          <w:rFonts w:ascii="Times New Roman" w:hAnsi="Times New Roman" w:eastAsia="仿宋_GB2312" w:cs="Times New Roman"/>
          <w:sz w:val="34"/>
          <w:szCs w:val="34"/>
        </w:rPr>
        <w:t>严格依照相关法律法规要求进行湿地保护，提升湿地生态系统质量和生物栖息地完整性，稳定湿地生态功能，保障生态供给可持续性，避免人为活动对湿地产生负面影响。</w:t>
      </w:r>
    </w:p>
    <w:p w14:paraId="2195ECEE">
      <w:pPr>
        <w:spacing w:line="600" w:lineRule="exact"/>
        <w:ind w:firstLine="683" w:firstLineChars="200"/>
        <w:rPr>
          <w:rFonts w:ascii="Times New Roman" w:hAnsi="Times New Roman" w:eastAsia="仿宋_GB2312" w:cs="Times New Roman"/>
          <w:sz w:val="34"/>
          <w:szCs w:val="34"/>
        </w:rPr>
      </w:pPr>
      <w:r>
        <w:rPr>
          <w:rFonts w:ascii="Times New Roman" w:hAnsi="Times New Roman" w:eastAsia="仿宋_GB2312" w:cs="Times New Roman"/>
          <w:b/>
          <w:bCs/>
          <w:sz w:val="34"/>
          <w:szCs w:val="34"/>
        </w:rPr>
        <w:t>全面保护、分级管理。</w:t>
      </w:r>
      <w:r>
        <w:rPr>
          <w:rFonts w:ascii="Times New Roman" w:hAnsi="Times New Roman" w:eastAsia="仿宋_GB2312" w:cs="Times New Roman"/>
          <w:sz w:val="34"/>
          <w:szCs w:val="34"/>
        </w:rPr>
        <w:t>对天津市武清区全域湿地进行系统性保护，构建“重要湿地—一般湿地”的分级体系，对保障生态安全、维护生态格局稳定、分布相对集中、地域特色较强的湿地片区进行重点保护，加强重要湿地的保护与修复。</w:t>
      </w:r>
    </w:p>
    <w:p w14:paraId="0FAF30CB">
      <w:pPr>
        <w:spacing w:line="600" w:lineRule="exact"/>
        <w:ind w:firstLine="683" w:firstLineChars="200"/>
        <w:rPr>
          <w:rFonts w:ascii="Times New Roman" w:hAnsi="Times New Roman" w:eastAsia="仿宋_GB2312" w:cs="Times New Roman"/>
          <w:sz w:val="34"/>
          <w:szCs w:val="34"/>
        </w:rPr>
      </w:pPr>
      <w:r>
        <w:rPr>
          <w:rFonts w:ascii="Times New Roman" w:hAnsi="Times New Roman" w:eastAsia="仿宋_GB2312" w:cs="Times New Roman"/>
          <w:b/>
          <w:bCs/>
          <w:sz w:val="34"/>
          <w:szCs w:val="34"/>
        </w:rPr>
        <w:t>合理利用、永续发展。</w:t>
      </w:r>
      <w:r>
        <w:rPr>
          <w:rFonts w:ascii="Times New Roman" w:hAnsi="Times New Roman" w:eastAsia="仿宋_GB2312" w:cs="Times New Roman"/>
          <w:sz w:val="34"/>
          <w:szCs w:val="34"/>
        </w:rPr>
        <w:t>在严格保护的前提下，对湿地进行合理利用，统筹处理好湿地保护利用的关系，将生态建设与区域活力相结合，促进湿地保护与利用可持续发展。</w:t>
      </w:r>
    </w:p>
    <w:p w14:paraId="4EEF966A">
      <w:pPr>
        <w:spacing w:line="600" w:lineRule="exact"/>
        <w:ind w:firstLine="683" w:firstLineChars="200"/>
        <w:rPr>
          <w:rFonts w:ascii="Times New Roman" w:hAnsi="Times New Roman" w:eastAsia="仿宋_GB2312" w:cs="Times New Roman"/>
          <w:sz w:val="34"/>
          <w:szCs w:val="34"/>
        </w:rPr>
      </w:pPr>
      <w:r>
        <w:rPr>
          <w:rFonts w:ascii="Times New Roman" w:hAnsi="Times New Roman" w:eastAsia="仿宋_GB2312" w:cs="Times New Roman"/>
          <w:b/>
          <w:bCs/>
          <w:sz w:val="34"/>
          <w:szCs w:val="34"/>
        </w:rPr>
        <w:t>重点实施、分期推进。</w:t>
      </w:r>
      <w:r>
        <w:rPr>
          <w:rFonts w:ascii="Times New Roman" w:hAnsi="Times New Roman" w:eastAsia="仿宋_GB2312" w:cs="Times New Roman"/>
          <w:sz w:val="34"/>
          <w:szCs w:val="34"/>
        </w:rPr>
        <w:t>依据湿地资源和保护需求，科学确定湿地保护修复重点实施内容，结合相关实施计划，分期推进实施，不断提升湿地生态系统质量。</w:t>
      </w:r>
    </w:p>
    <w:p w14:paraId="586A42F6">
      <w:pPr>
        <w:spacing w:line="600" w:lineRule="exact"/>
        <w:ind w:firstLine="683" w:firstLineChars="200"/>
        <w:rPr>
          <w:rFonts w:ascii="Times New Roman" w:hAnsi="Times New Roman" w:eastAsia="仿宋_GB2312" w:cs="Times New Roman"/>
          <w:sz w:val="34"/>
          <w:szCs w:val="34"/>
        </w:rPr>
      </w:pPr>
      <w:r>
        <w:rPr>
          <w:rFonts w:ascii="Times New Roman" w:hAnsi="Times New Roman" w:eastAsia="仿宋_GB2312" w:cs="Times New Roman"/>
          <w:b/>
          <w:bCs/>
          <w:sz w:val="34"/>
          <w:szCs w:val="34"/>
        </w:rPr>
        <w:t>政府主导，统筹协调。</w:t>
      </w:r>
      <w:r>
        <w:rPr>
          <w:rFonts w:ascii="Times New Roman" w:hAnsi="Times New Roman" w:eastAsia="仿宋_GB2312" w:cs="Times New Roman"/>
          <w:sz w:val="34"/>
          <w:szCs w:val="34"/>
        </w:rPr>
        <w:t>区政府对湿地保护负总责，各职能部门协调配合，共同推进湿地保护，充分发挥林长制、河湖长制作用，加强湿地保护政策制定、资金扶持，鼓励社会各界参与湿地保护与修复。</w:t>
      </w:r>
    </w:p>
    <w:p w14:paraId="7F97CB21">
      <w:pPr>
        <w:pStyle w:val="3"/>
        <w:spacing w:before="0" w:after="0" w:line="600" w:lineRule="exact"/>
        <w:rPr>
          <w:rFonts w:ascii="Times New Roman" w:hAnsi="Times New Roman" w:eastAsia="黑体" w:cs="Times New Roman"/>
          <w:sz w:val="34"/>
          <w:szCs w:val="34"/>
        </w:rPr>
      </w:pPr>
      <w:bookmarkStart w:id="10" w:name="_Toc210566613"/>
      <w:r>
        <w:rPr>
          <w:rFonts w:ascii="Times New Roman" w:hAnsi="Times New Roman" w:eastAsia="黑体" w:cs="Times New Roman"/>
          <w:sz w:val="34"/>
          <w:szCs w:val="34"/>
        </w:rPr>
        <w:t>（三）规划目标</w:t>
      </w:r>
      <w:bookmarkEnd w:id="10"/>
    </w:p>
    <w:p w14:paraId="7D58A32D">
      <w:pPr>
        <w:spacing w:line="600" w:lineRule="exact"/>
        <w:ind w:firstLine="680" w:firstLineChars="200"/>
        <w:rPr>
          <w:rFonts w:ascii="Times New Roman" w:hAnsi="Times New Roman" w:eastAsia="仿宋_GB2312" w:cs="Times New Roman"/>
          <w:sz w:val="34"/>
          <w:szCs w:val="34"/>
        </w:rPr>
      </w:pPr>
      <w:r>
        <w:rPr>
          <w:rFonts w:hint="eastAsia" w:ascii="Times New Roman" w:hAnsi="Times New Roman" w:eastAsia="仿宋_GB2312" w:cs="Times New Roman"/>
          <w:sz w:val="34"/>
          <w:szCs w:val="34"/>
        </w:rPr>
        <w:t>规划近期至2025年，武清区湿地保有量总体稳定；提升重要湿地监测管理信息化水平；开展湿地恢复项目，强化湿地保护与能力建设，对湿地自然保护地进行系统提升；完善区级一般湿地名录</w:t>
      </w:r>
      <w:r>
        <w:rPr>
          <w:rFonts w:ascii="Times New Roman" w:hAnsi="Times New Roman" w:eastAsia="仿宋_GB2312" w:cs="Times New Roman"/>
          <w:sz w:val="34"/>
          <w:szCs w:val="34"/>
        </w:rPr>
        <w:t>。</w:t>
      </w:r>
    </w:p>
    <w:p w14:paraId="4C78EEA8">
      <w:pPr>
        <w:spacing w:line="600" w:lineRule="exact"/>
        <w:ind w:firstLine="680" w:firstLineChars="200"/>
        <w:rPr>
          <w:rFonts w:ascii="Times New Roman" w:hAnsi="Times New Roman" w:eastAsia="仿宋_GB2312" w:cs="Times New Roman"/>
          <w:sz w:val="34"/>
          <w:szCs w:val="34"/>
        </w:rPr>
      </w:pPr>
      <w:r>
        <w:rPr>
          <w:rFonts w:hint="eastAsia" w:ascii="Times New Roman" w:hAnsi="Times New Roman" w:eastAsia="仿宋_GB2312" w:cs="Times New Roman"/>
          <w:sz w:val="34"/>
          <w:szCs w:val="34"/>
        </w:rPr>
        <w:t>规划远期为 2026 至 2030年，完善湿地保护体系及管理体系，切实维护湿地功能，严格落实湿地总量控制与生态保护补偿等管理制度</w:t>
      </w:r>
      <w:r>
        <w:rPr>
          <w:rFonts w:ascii="Times New Roman" w:hAnsi="Times New Roman" w:eastAsia="仿宋_GB2312" w:cs="Times New Roman"/>
          <w:sz w:val="34"/>
          <w:szCs w:val="34"/>
        </w:rPr>
        <w:t>。</w:t>
      </w:r>
      <w:r>
        <w:rPr>
          <w:rFonts w:ascii="Times New Roman" w:hAnsi="Times New Roman" w:eastAsia="仿宋_GB2312" w:cs="Times New Roman"/>
          <w:sz w:val="28"/>
          <w:szCs w:val="28"/>
        </w:rPr>
        <w:br w:type="page"/>
      </w:r>
    </w:p>
    <w:p w14:paraId="56687FDE">
      <w:pPr>
        <w:pStyle w:val="2"/>
        <w:jc w:val="center"/>
        <w:rPr>
          <w:rFonts w:ascii="Times New Roman" w:hAnsi="Times New Roman" w:eastAsia="方正小标宋简体" w:cs="Times New Roman"/>
        </w:rPr>
      </w:pPr>
      <w:bookmarkStart w:id="11" w:name="_Toc210566614"/>
      <w:r>
        <w:rPr>
          <w:rFonts w:ascii="Times New Roman" w:hAnsi="Times New Roman" w:eastAsia="方正小标宋简体" w:cs="Times New Roman"/>
        </w:rPr>
        <w:t>第三章 空间格局</w:t>
      </w:r>
      <w:bookmarkEnd w:id="11"/>
    </w:p>
    <w:p w14:paraId="01FE4384">
      <w:pPr>
        <w:snapToGrid w:val="0"/>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武清区湿地实行分级管理，分为重要湿地与一般湿地，重要湿地包括国家重要湿地和天津市重要湿地。</w:t>
      </w:r>
    </w:p>
    <w:p w14:paraId="1270C698">
      <w:pPr>
        <w:pStyle w:val="3"/>
        <w:spacing w:before="0" w:after="0" w:line="600" w:lineRule="exact"/>
        <w:ind w:firstLine="683" w:firstLineChars="200"/>
        <w:rPr>
          <w:rFonts w:ascii="Times New Roman" w:hAnsi="Times New Roman" w:eastAsia="黑体" w:cs="Times New Roman"/>
          <w:sz w:val="34"/>
          <w:szCs w:val="34"/>
        </w:rPr>
      </w:pPr>
      <w:bookmarkStart w:id="12" w:name="_Toc210566615"/>
      <w:r>
        <w:rPr>
          <w:rFonts w:ascii="Times New Roman" w:hAnsi="Times New Roman" w:eastAsia="黑体" w:cs="Times New Roman"/>
          <w:sz w:val="34"/>
          <w:szCs w:val="34"/>
        </w:rPr>
        <w:t>（一）重要湿地</w:t>
      </w:r>
      <w:bookmarkEnd w:id="12"/>
    </w:p>
    <w:p w14:paraId="59C1C8AC">
      <w:pPr>
        <w:snapToGrid w:val="0"/>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武清区重要湿地包括国家级重要湿地1处，天津市重要湿地3处。（详见附表1）</w:t>
      </w:r>
    </w:p>
    <w:p w14:paraId="481463F0">
      <w:pPr>
        <w:snapToGrid w:val="0"/>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国家重要湿地为天津市武清区大黄堡国家重要湿地，湿地保护总面积42.01平方公里，主要保护对象为湿地生态系统和珍禽、候鸟及野生动植物。</w:t>
      </w:r>
    </w:p>
    <w:p w14:paraId="0023B8EA">
      <w:pPr>
        <w:snapToGrid w:val="0"/>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大黄堡国家重要湿地位于武清区东部，2023年10月被纳入国家重要湿地名录，是天津“一轴两带三区”中“七里海—大黄堡洼”湿地生态环境建设保护区，涵盖大黄堡、崔黄口和上马台三镇区域。大黄堡国家重要湿地是一个由草甸、沼泽、水体、野生动植物等多种生态要素组成的湿地生态系统，具有净化水质、涵养水源、保持水土、调解气候、蓄洪抗旱的生态功能，被誉为“京津冀之肾”。主要保护对象是湿地生态系统和鸟类资源，是东亚—澳大利亚候鸟迁徙路线上的重要停歇地和中转站，也是京津水源区的重要组成部分，生物多样性丰富，具有“物种基因库”功能。现有两栖动物6种、爬行动物10种、哺乳动物17种、鱼类33种、昆虫</w:t>
      </w:r>
      <w:r>
        <w:rPr>
          <w:rFonts w:hint="eastAsia" w:ascii="Times New Roman" w:hAnsi="Times New Roman" w:eastAsia="仿宋_GB2312" w:cs="Times New Roman"/>
          <w:sz w:val="34"/>
          <w:szCs w:val="34"/>
        </w:rPr>
        <w:t>559</w:t>
      </w:r>
      <w:r>
        <w:rPr>
          <w:rFonts w:ascii="Times New Roman" w:hAnsi="Times New Roman" w:eastAsia="仿宋_GB2312" w:cs="Times New Roman"/>
          <w:sz w:val="34"/>
          <w:szCs w:val="34"/>
        </w:rPr>
        <w:t>种、浮游动物76种、底栖动物61种、鸟类2</w:t>
      </w:r>
      <w:r>
        <w:rPr>
          <w:rFonts w:hint="eastAsia" w:ascii="Times New Roman" w:hAnsi="Times New Roman" w:eastAsia="仿宋_GB2312" w:cs="Times New Roman"/>
          <w:sz w:val="34"/>
          <w:szCs w:val="34"/>
        </w:rPr>
        <w:t>60</w:t>
      </w:r>
      <w:r>
        <w:rPr>
          <w:rFonts w:ascii="Times New Roman" w:hAnsi="Times New Roman" w:eastAsia="仿宋_GB2312" w:cs="Times New Roman"/>
          <w:sz w:val="34"/>
          <w:szCs w:val="34"/>
        </w:rPr>
        <w:t>种、植物</w:t>
      </w:r>
      <w:r>
        <w:rPr>
          <w:rFonts w:hint="eastAsia" w:ascii="Times New Roman" w:hAnsi="Times New Roman" w:eastAsia="仿宋_GB2312" w:cs="Times New Roman"/>
          <w:sz w:val="34"/>
          <w:szCs w:val="34"/>
        </w:rPr>
        <w:t>330</w:t>
      </w:r>
      <w:r>
        <w:rPr>
          <w:rFonts w:ascii="Times New Roman" w:hAnsi="Times New Roman" w:eastAsia="仿宋_GB2312" w:cs="Times New Roman"/>
          <w:sz w:val="34"/>
          <w:szCs w:val="34"/>
        </w:rPr>
        <w:t>种。国家一级</w:t>
      </w:r>
      <w:r>
        <w:rPr>
          <w:rFonts w:hint="eastAsia" w:ascii="Times New Roman" w:hAnsi="Times New Roman" w:eastAsia="仿宋_GB2312" w:cs="Times New Roman"/>
          <w:sz w:val="34"/>
          <w:szCs w:val="34"/>
        </w:rPr>
        <w:t>重点保护鸟类14种，</w:t>
      </w:r>
      <w:r>
        <w:rPr>
          <w:rFonts w:ascii="Times New Roman" w:hAnsi="Times New Roman" w:eastAsia="仿宋_GB2312" w:cs="Times New Roman"/>
          <w:sz w:val="34"/>
          <w:szCs w:val="34"/>
        </w:rPr>
        <w:t>有</w:t>
      </w:r>
      <w:r>
        <w:rPr>
          <w:rFonts w:hint="eastAsia" w:ascii="Times New Roman" w:hAnsi="Times New Roman" w:eastAsia="仿宋_GB2312" w:cs="Times New Roman"/>
          <w:sz w:val="34"/>
          <w:szCs w:val="34"/>
        </w:rPr>
        <w:t>中华秋沙鸭、白鹤、黑鹳、白尾海雕、猎隼等</w:t>
      </w:r>
      <w:r>
        <w:rPr>
          <w:rFonts w:ascii="Times New Roman" w:hAnsi="Times New Roman" w:eastAsia="仿宋_GB2312" w:cs="Times New Roman"/>
          <w:sz w:val="34"/>
          <w:szCs w:val="34"/>
        </w:rPr>
        <w:t>，</w:t>
      </w:r>
      <w:r>
        <w:rPr>
          <w:rFonts w:hint="eastAsia" w:ascii="Times New Roman" w:hAnsi="Times New Roman" w:eastAsia="仿宋_GB2312" w:cs="Times New Roman"/>
          <w:sz w:val="34"/>
          <w:szCs w:val="34"/>
        </w:rPr>
        <w:t>国家二级重点保护</w:t>
      </w:r>
      <w:r>
        <w:rPr>
          <w:rFonts w:ascii="Times New Roman" w:hAnsi="Times New Roman" w:eastAsia="仿宋_GB2312" w:cs="Times New Roman"/>
          <w:sz w:val="34"/>
          <w:szCs w:val="34"/>
        </w:rPr>
        <w:t>鸟类</w:t>
      </w:r>
      <w:r>
        <w:rPr>
          <w:rFonts w:hint="eastAsia" w:ascii="Times New Roman" w:hAnsi="Times New Roman" w:eastAsia="仿宋_GB2312" w:cs="Times New Roman"/>
          <w:sz w:val="34"/>
          <w:szCs w:val="34"/>
        </w:rPr>
        <w:t>45种</w:t>
      </w:r>
      <w:r>
        <w:rPr>
          <w:rFonts w:ascii="Times New Roman" w:hAnsi="Times New Roman" w:eastAsia="仿宋_GB2312" w:cs="Times New Roman"/>
          <w:sz w:val="34"/>
          <w:szCs w:val="34"/>
        </w:rPr>
        <w:t>。国家二级保护野生植物野大豆广泛分布。</w:t>
      </w:r>
    </w:p>
    <w:p w14:paraId="0B7F6C12">
      <w:pPr>
        <w:snapToGrid w:val="0"/>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天津市重要湿地为天津市永定河故道重要湿地、天津市北运河重要湿地以及天津市永定河重要湿地。</w:t>
      </w:r>
    </w:p>
    <w:p w14:paraId="43948263">
      <w:pPr>
        <w:snapToGrid w:val="0"/>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天津市永定河故道重要湿地主要包括龙凤河故道、永定河故道及其两岸人工湿地，湿地保护总面积0.75平方公里。</w:t>
      </w:r>
    </w:p>
    <w:p w14:paraId="70E993C9">
      <w:pPr>
        <w:snapToGrid w:val="0"/>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永定河故道重要湿地</w:t>
      </w:r>
      <w:r>
        <w:rPr>
          <w:rFonts w:hint="eastAsia" w:ascii="Times New Roman" w:hAnsi="Times New Roman" w:eastAsia="仿宋_GB2312" w:cs="Times New Roman"/>
          <w:sz w:val="34"/>
          <w:szCs w:val="34"/>
        </w:rPr>
        <w:t>位于武清区黄庄街道，地处京津综合发展主轴上，距离北京市区71公里、天津市区25公里，有京津塘、京津、京沪、津保、津蓟、滨保6条高速公路经过；京津城际铁路武清站，紧邻湿地公园，可19分钟抵达北京、10分钟抵达天津，交通网络十分便捷。永定河故道重要湿地位于海河流域的五大支流永定河上，以永定河泛区的河流湿地为主，包括永久性河流湿地、洪泛湿地、草本沼泽湿地，兼有池塘、藕塘、水稻田等多种人工湿地，湿地生态系统丰富且相对完整，是候鸟迁徙的中转地。</w:t>
      </w:r>
    </w:p>
    <w:p w14:paraId="00890995">
      <w:pPr>
        <w:snapToGrid w:val="0"/>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天津市北运河重要湿地主要包括北运河及其两岸人工湿地，湿地保护总面积5.40平方公里。</w:t>
      </w:r>
    </w:p>
    <w:p w14:paraId="18E8037F">
      <w:pPr>
        <w:snapToGrid w:val="0"/>
        <w:spacing w:line="600" w:lineRule="exact"/>
        <w:ind w:firstLine="680" w:firstLineChars="200"/>
        <w:rPr>
          <w:rFonts w:ascii="Times New Roman" w:hAnsi="Times New Roman" w:eastAsia="仿宋_GB2312" w:cs="Times New Roman"/>
          <w:sz w:val="34"/>
          <w:szCs w:val="34"/>
        </w:rPr>
      </w:pPr>
      <w:r>
        <w:rPr>
          <w:rFonts w:hint="eastAsia" w:ascii="Times New Roman" w:hAnsi="Times New Roman" w:eastAsia="仿宋_GB2312" w:cs="Times New Roman"/>
          <w:sz w:val="34"/>
          <w:szCs w:val="34"/>
        </w:rPr>
        <w:t>北运河重要湿地展现浓厚的京畿重镇独特地缘文化，南北串联潞河、仓廒、官署、驿站、祠庙、戏曲、建筑及园林等丰厚的运河文化，同时联通运河郊野公园、津北森林公园、南湖·绿博园景区等绿色精致的生态景观，是人与自然和谐共生的展示窗口。</w:t>
      </w:r>
    </w:p>
    <w:p w14:paraId="6354E6B1">
      <w:pPr>
        <w:snapToGrid w:val="0"/>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天津市永定河重要湿地主要包括永定河及其两岸人工湿地，湿地保护面积0.66平方公里。</w:t>
      </w:r>
    </w:p>
    <w:p w14:paraId="5B19A4DD">
      <w:pPr>
        <w:snapToGrid w:val="0"/>
        <w:spacing w:line="600" w:lineRule="exact"/>
        <w:ind w:firstLine="680" w:firstLineChars="200"/>
        <w:rPr>
          <w:rFonts w:ascii="Times New Roman" w:hAnsi="Times New Roman" w:eastAsia="仿宋_GB2312" w:cs="Times New Roman"/>
          <w:sz w:val="34"/>
          <w:szCs w:val="34"/>
        </w:rPr>
      </w:pPr>
      <w:r>
        <w:rPr>
          <w:rFonts w:hint="eastAsia" w:ascii="Times New Roman" w:hAnsi="Times New Roman" w:eastAsia="仿宋_GB2312" w:cs="Times New Roman"/>
          <w:sz w:val="34"/>
          <w:szCs w:val="34"/>
        </w:rPr>
        <w:t>永定河是海河流域重要水系之一，干支流流经山西、内蒙古、河北、北京、天津的51个县(区、市)，全长806公里，流域总面积4.62万平方公里(永定河自武清区邵七堤进入天津，至屈家店闸长约29公里；屈家店闸以下河段为永定新河，至防潮闸长约63公里。加强永定河综合治理与生态修复，保障河道行洪安全。</w:t>
      </w:r>
    </w:p>
    <w:p w14:paraId="0216E4DC">
      <w:pPr>
        <w:pStyle w:val="3"/>
        <w:spacing w:before="0" w:after="0" w:line="600" w:lineRule="exact"/>
        <w:rPr>
          <w:rFonts w:ascii="Times New Roman" w:hAnsi="Times New Roman" w:eastAsia="黑体" w:cs="Times New Roman"/>
          <w:sz w:val="34"/>
          <w:szCs w:val="34"/>
        </w:rPr>
      </w:pPr>
      <w:bookmarkStart w:id="13" w:name="_Toc210566616"/>
      <w:r>
        <w:rPr>
          <w:rFonts w:ascii="Times New Roman" w:hAnsi="Times New Roman" w:eastAsia="黑体" w:cs="Times New Roman"/>
          <w:sz w:val="34"/>
          <w:szCs w:val="34"/>
        </w:rPr>
        <w:t>（二）一般湿地</w:t>
      </w:r>
      <w:bookmarkEnd w:id="13"/>
    </w:p>
    <w:p w14:paraId="435686F7">
      <w:pPr>
        <w:spacing w:line="600" w:lineRule="exact"/>
        <w:ind w:firstLine="680" w:firstLineChars="200"/>
        <w:rPr>
          <w:rFonts w:ascii="Times New Roman" w:hAnsi="Times New Roman" w:cs="Times New Roman"/>
        </w:rPr>
      </w:pPr>
      <w:r>
        <w:rPr>
          <w:rFonts w:ascii="Times New Roman" w:hAnsi="Times New Roman" w:eastAsia="仿宋_GB2312" w:cs="Times New Roman"/>
          <w:sz w:val="34"/>
          <w:szCs w:val="34"/>
        </w:rPr>
        <w:t>《中华人民共和国湿地保护法》第十四条规定“国家对湿地实行分级管理，按照生态区位、面积以及维护生态功能、生物多样性的重要程度，将湿地分为重要湿地和一般湿地。重要湿地包括国家重要湿地和省级重要湿地，重要湿地以外的湿地为一般湿地。重要湿地依法划入生态保护红线”。</w:t>
      </w:r>
    </w:p>
    <w:p w14:paraId="698490AA">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天津市湿地保护条例》第十一条规定“本市对湿地实行分级管理，按照生态区位、面积以及维护生态功能、生物多样性的重要程度，将湿地分为重要湿地和一般湿地。重要湿地包括国家重要湿地和市级重要湿地，重要湿地以外的湿地为一般湿地。重要湿地依法划入生态保护红线。”</w:t>
      </w:r>
    </w:p>
    <w:p w14:paraId="1DAEBFEC">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依据上述法律法规要求，结合2020年度国土变更调查数据，武清区除国家重要湿地和天津市重要湿地外其他湿地划定为一般湿地。</w:t>
      </w:r>
    </w:p>
    <w:p w14:paraId="5405855E">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中华人民共和国湿地保护法》第十四条规定“一般湿地的名录及范围由县级以上地方人民政府或者其授权的部门发布”。《天津市湿地保护条例》第十二条规定“一般湿地名录及范围由区湿地保护管理部门会同有关部门提出，报区人民政府批准后发布，并向市规划资源主管部门备案”。《天津市湿地保护规划（2022—2030年）》明确“各区人民政府可以将重要湿地以外的具有显著生态功能的湿地纳入一般湿地名录。优先将生态保护红线内，或者生态保护红线范围外有国家级重点保护动植物物种栖息的湿地，纳入一般湿地名录，并严格依据《中华人民共和国湿地保护法》《天津市湿地保护条例》要求，实施名录化管理”。</w:t>
      </w:r>
    </w:p>
    <w:p w14:paraId="72DA4FAC">
      <w:pPr>
        <w:spacing w:line="600" w:lineRule="exact"/>
        <w:ind w:firstLine="680" w:firstLineChars="200"/>
        <w:rPr>
          <w:rFonts w:ascii="Times New Roman" w:hAnsi="Times New Roman" w:eastAsia="仿宋_GB2312" w:cs="Times New Roman"/>
          <w:sz w:val="28"/>
          <w:szCs w:val="28"/>
        </w:rPr>
      </w:pPr>
      <w:r>
        <w:rPr>
          <w:rFonts w:ascii="Times New Roman" w:hAnsi="Times New Roman" w:eastAsia="仿宋_GB2312" w:cs="Times New Roman"/>
          <w:sz w:val="34"/>
          <w:szCs w:val="34"/>
        </w:rPr>
        <w:t>依据上述文件要求，结合2020年度国土变更调查数据及武清区生态保护红线分布情况、国家级重点保护动植物物种栖息地分布情况，划定武清区一般湿地名录6处（详见附表2），报区人民政府批准后发布。区湿地保护管理部门根据湿地保护的需要和湿地资源的变化情况，及时调整、补充湿地名录，并按照规定经批准后发布备案。</w:t>
      </w:r>
    </w:p>
    <w:p w14:paraId="00D86F3E">
      <w:pPr>
        <w:pStyle w:val="2"/>
        <w:jc w:val="center"/>
        <w:rPr>
          <w:rFonts w:ascii="Times New Roman" w:hAnsi="Times New Roman" w:eastAsia="方正小标宋简体" w:cs="Times New Roman"/>
        </w:rPr>
      </w:pPr>
      <w:bookmarkStart w:id="14" w:name="_Toc210566617"/>
      <w:r>
        <w:rPr>
          <w:rFonts w:ascii="Times New Roman" w:hAnsi="Times New Roman" w:eastAsia="方正小标宋简体" w:cs="Times New Roman"/>
        </w:rPr>
        <w:t>第四章 重点任务</w:t>
      </w:r>
      <w:bookmarkEnd w:id="14"/>
    </w:p>
    <w:p w14:paraId="0A305007">
      <w:pPr>
        <w:pStyle w:val="3"/>
        <w:spacing w:before="0" w:after="0" w:line="600" w:lineRule="exact"/>
        <w:rPr>
          <w:rFonts w:ascii="Times New Roman" w:hAnsi="Times New Roman" w:eastAsia="黑体" w:cs="Times New Roman"/>
          <w:sz w:val="34"/>
          <w:szCs w:val="34"/>
        </w:rPr>
      </w:pPr>
      <w:bookmarkStart w:id="15" w:name="_Toc210566618"/>
      <w:r>
        <w:rPr>
          <w:rFonts w:ascii="Times New Roman" w:hAnsi="Times New Roman" w:eastAsia="黑体" w:cs="Times New Roman"/>
          <w:sz w:val="34"/>
          <w:szCs w:val="34"/>
        </w:rPr>
        <w:t>（一）实行湿地面积总量管控</w:t>
      </w:r>
      <w:bookmarkEnd w:id="15"/>
    </w:p>
    <w:p w14:paraId="7A7AE05A">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根据《中华人民共和国湿地保护法》相关要求，实行湿地面积总量管控制度，将湿地面积管控目标纳入湿地保护目标责任制。依据天津市确定的武清区湿地面积总量管控目标，武清区人民政府应采取有效措施，落实湿地面积总量管控目标要求。</w:t>
      </w:r>
    </w:p>
    <w:p w14:paraId="1C0A31A6">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禁止占用国家重要湿地，国家重大项目、防灾减灾项目、重要水利及保护设施项目、湿地保护项目等除外。</w:t>
      </w:r>
    </w:p>
    <w:p w14:paraId="6BBE683C">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禁止占用市级重要湿地，国家和本市重大项目、防灾减灾项目、重要水利及保护设施项目、供排水项目、湿地保护项目等除外。</w:t>
      </w:r>
    </w:p>
    <w:p w14:paraId="56FDD0CC">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严格控制占用湿地，建设项目选址、选线应当避让湿地，无法避让的应当尽量减少占用，并采取必要措施减轻对湿地生态功能的不利影响。有关部门应当采取措施，加强湿地保护，禁止破坏湿地及其生态功能的行为，保障湿地面积总量及其生态质量。区人民政府应积极开展湿地生态修复工程，增加湿地保有面积，新增湿地纳入区湿地储备库，用于必要工程建设项目占用补划。</w:t>
      </w:r>
    </w:p>
    <w:p w14:paraId="623FFA26">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建设项目规划选址、选线审批或者核准时，涉及市级重要湿地的，市规划资源主管部门应当评估建设项目对重要湿地的影响，必要时组织湿地保护专家论证；涉及一般湿地的，应当征求区湿地保护管理部门的意见；涉及国家重要湿地的，按照国家有关规定执行。</w:t>
      </w:r>
    </w:p>
    <w:p w14:paraId="4B6C6E0D">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湿地与生态保护红线、自然保护地等生态管控要素存在空间重叠时，按照最严格的管控标准实施保护与管理。</w:t>
      </w:r>
    </w:p>
    <w:p w14:paraId="19C6D84B">
      <w:pPr>
        <w:pStyle w:val="3"/>
        <w:spacing w:before="0" w:after="0" w:line="600" w:lineRule="exact"/>
        <w:rPr>
          <w:rFonts w:ascii="Times New Roman" w:hAnsi="Times New Roman" w:eastAsia="黑体" w:cs="Times New Roman"/>
          <w:sz w:val="34"/>
          <w:szCs w:val="34"/>
        </w:rPr>
      </w:pPr>
      <w:bookmarkStart w:id="16" w:name="_Toc210566619"/>
      <w:r>
        <w:rPr>
          <w:rFonts w:ascii="Times New Roman" w:hAnsi="Times New Roman" w:eastAsia="黑体" w:cs="Times New Roman"/>
          <w:sz w:val="34"/>
          <w:szCs w:val="34"/>
        </w:rPr>
        <w:t>（二）完善湿地分级保护体系</w:t>
      </w:r>
      <w:bookmarkEnd w:id="16"/>
    </w:p>
    <w:p w14:paraId="7C647A7A">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天津市武清区湿地实行分级管理，按照“重要湿地—一般湿地”进行管控。加强重要湿地、一般湿地的保护、管理和监测，进一步完善一般湿地名录。</w:t>
      </w:r>
    </w:p>
    <w:p w14:paraId="35BB943B">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重要湿地为天津市武清区大黄堡国家重要湿地和天津市永定河故道重要湿地、天津市北运河重要湿地、天津市永定河重要湿地。</w:t>
      </w:r>
    </w:p>
    <w:p w14:paraId="78326349">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除重要湿地以外的湿地为一般湿地，将一般湿地中具有显著生态功能的湿地纳入一般湿地名录，优先将生态保护红线内，或者生态保护红线范围外有国家级重点保护动植物物种栖息的湿地，纳入一般湿地名录，并严格依据《中华人民共和国湿地保护法》《天津市湿地保护条例》要求，实施名录化管理。选择</w:t>
      </w:r>
      <w:r>
        <w:rPr>
          <w:rFonts w:hint="eastAsia" w:ascii="Times New Roman" w:hAnsi="Times New Roman" w:eastAsia="仿宋_GB2312" w:cs="Times New Roman"/>
          <w:sz w:val="34"/>
          <w:szCs w:val="34"/>
        </w:rPr>
        <w:t>生态保护红线内</w:t>
      </w:r>
      <w:r>
        <w:rPr>
          <w:rFonts w:ascii="Times New Roman" w:hAnsi="Times New Roman" w:eastAsia="仿宋_GB2312" w:cs="Times New Roman"/>
          <w:sz w:val="34"/>
          <w:szCs w:val="34"/>
        </w:rPr>
        <w:t>湿地，纳入区级一般湿地名录。规划区级一般湿地6处，包括天津大黄堡湿地自然保护区（除重要湿地之外的部分）、天津武清永定河故道国家湿地公园（除重要湿地之外的部分）、王庆坨水库、引滦明渠（武清段）、青龙湾防风固沙生态保护红线（武清段）、北运河（武清段除重要湿地之外的部分）。</w:t>
      </w:r>
    </w:p>
    <w:p w14:paraId="4017EF24">
      <w:pPr>
        <w:pStyle w:val="3"/>
        <w:spacing w:before="0" w:after="0" w:line="600" w:lineRule="exact"/>
        <w:rPr>
          <w:rFonts w:ascii="Times New Roman" w:hAnsi="Times New Roman" w:eastAsia="黑体" w:cs="Times New Roman"/>
          <w:sz w:val="34"/>
          <w:szCs w:val="34"/>
        </w:rPr>
      </w:pPr>
      <w:bookmarkStart w:id="17" w:name="_Toc210566620"/>
      <w:r>
        <w:rPr>
          <w:rFonts w:ascii="Times New Roman" w:hAnsi="Times New Roman" w:eastAsia="黑体" w:cs="Times New Roman"/>
          <w:sz w:val="34"/>
          <w:szCs w:val="34"/>
        </w:rPr>
        <w:t>（三）实施湿地保护修复工程</w:t>
      </w:r>
      <w:bookmarkEnd w:id="17"/>
    </w:p>
    <w:p w14:paraId="713E0939">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加强湿地保护管理，实施湿地生态修复。采取自然恢复为主，人工修复为辅的方式，对集中连片、破碎化严重、功能退化的自然湿地优先进行修复和综合整治，优先修复生态功能严重退化的重要湿地。</w:t>
      </w:r>
    </w:p>
    <w:p w14:paraId="0FF15F42">
      <w:pPr>
        <w:spacing w:line="600" w:lineRule="exact"/>
        <w:ind w:firstLine="683" w:firstLineChars="200"/>
        <w:rPr>
          <w:rFonts w:ascii="Times New Roman" w:hAnsi="Times New Roman" w:eastAsia="仿宋_GB2312" w:cs="Times New Roman"/>
          <w:b/>
          <w:bCs/>
          <w:sz w:val="34"/>
          <w:szCs w:val="34"/>
        </w:rPr>
      </w:pPr>
      <w:r>
        <w:rPr>
          <w:rFonts w:ascii="Times New Roman" w:hAnsi="Times New Roman" w:eastAsia="仿宋_GB2312" w:cs="Times New Roman"/>
          <w:b/>
          <w:bCs/>
          <w:sz w:val="34"/>
          <w:szCs w:val="34"/>
        </w:rPr>
        <w:t>1、大黄堡国家重要湿地保护修复工程</w:t>
      </w:r>
    </w:p>
    <w:p w14:paraId="07AFA539">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加强大黄堡国家重要湿地生态保护修复工作，构建“两带”“四廊”“十二单元”“多点”的生态空间结构；加强青上路、大东线一大黄堡路两条重要湿地内主要道路生态提升，注重沿路乔木和水陆两生地被种植，提升沿路生态环境与景观效果；依托湿地内河流、干渠构建生态廊道，加强重要湿地对外生态联系，成为集水源供给、边界控制、生态保护、生态游览于一体的生态带；在重要湿地内，结合河流、沟渠、道路等线性要素划分，确定12处相对独立的湿地修复单元，包括坑塘型、沼泽型、坑塘农田混合型、农田型、水库型5种类型。各生态单元形成相对独立的水文控制体系，结合鸟类资源调查与研究，判别不同时段保护区主要鸟类构成，依据鸟类生态习性，动态确定适宜鸟类生存的水位，构建适宜当季地鸟类生存的水文环境，满足多样湿地生物需求。</w:t>
      </w:r>
    </w:p>
    <w:p w14:paraId="5D325E16">
      <w:pPr>
        <w:spacing w:line="600" w:lineRule="exact"/>
        <w:ind w:firstLine="683" w:firstLineChars="200"/>
        <w:rPr>
          <w:rFonts w:ascii="Times New Roman" w:hAnsi="Times New Roman" w:eastAsia="仿宋_GB2312" w:cs="Times New Roman"/>
          <w:b/>
          <w:bCs/>
          <w:sz w:val="34"/>
          <w:szCs w:val="34"/>
        </w:rPr>
      </w:pPr>
      <w:r>
        <w:rPr>
          <w:rFonts w:ascii="Times New Roman" w:hAnsi="Times New Roman" w:eastAsia="仿宋_GB2312" w:cs="Times New Roman"/>
          <w:b/>
          <w:bCs/>
          <w:sz w:val="34"/>
          <w:szCs w:val="34"/>
        </w:rPr>
        <w:t>2、天津市永定河故道重要湿地、天津市北运河重要湿地、天津市永定河重要湿地保护修复工程</w:t>
      </w:r>
    </w:p>
    <w:p w14:paraId="517344FE">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3处市级重要湿地均以河流湿地为主，生态保护修复工程围绕湿地水环境保护开展。加强湿地内部水系连通，开展湿地河流两侧退渔坑塘生态修复，消除河流内部围堤、塘梗分隔，实现湿地水系贯通。完善河道、干渠、支渠、毛渠的水网体系，形成串联成片的湿地片区，构建相对独立水文单元体系，并通过涵闸控制单元水位变化，维持稳定的水生态环境，促进湿地植被恢复和生物栖息地建设。加强水闸、涵桥、泵站等水利设施建设，强化湿地与周边河道水系联系，确保外部供水畅通。加强防护渠系疏通，提示湿地供水效果，并为水上巡护路线建设提供基础。</w:t>
      </w:r>
    </w:p>
    <w:p w14:paraId="78622CC8">
      <w:pPr>
        <w:pStyle w:val="3"/>
        <w:spacing w:before="0" w:after="0" w:line="600" w:lineRule="exact"/>
        <w:rPr>
          <w:rFonts w:ascii="Times New Roman" w:hAnsi="Times New Roman" w:eastAsia="黑体" w:cs="Times New Roman"/>
          <w:sz w:val="34"/>
          <w:szCs w:val="34"/>
        </w:rPr>
      </w:pPr>
      <w:bookmarkStart w:id="18" w:name="_Toc210566621"/>
      <w:r>
        <w:rPr>
          <w:rFonts w:ascii="Times New Roman" w:hAnsi="Times New Roman" w:eastAsia="黑体" w:cs="Times New Roman"/>
          <w:sz w:val="34"/>
          <w:szCs w:val="34"/>
        </w:rPr>
        <w:t>（四）探索湿地</w:t>
      </w:r>
      <w:r>
        <w:rPr>
          <w:rFonts w:hint="eastAsia" w:ascii="Times New Roman" w:hAnsi="Times New Roman" w:eastAsia="黑体" w:cs="Times New Roman"/>
          <w:sz w:val="34"/>
          <w:szCs w:val="34"/>
        </w:rPr>
        <w:t>生态价值转化</w:t>
      </w:r>
      <w:r>
        <w:rPr>
          <w:rFonts w:ascii="Times New Roman" w:hAnsi="Times New Roman" w:eastAsia="黑体" w:cs="Times New Roman"/>
          <w:sz w:val="34"/>
          <w:szCs w:val="34"/>
        </w:rPr>
        <w:t>方式</w:t>
      </w:r>
      <w:bookmarkEnd w:id="18"/>
    </w:p>
    <w:p w14:paraId="695CF3E2">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积极探索湿地保护和资源利用新模式，处理好生态保护和经济社会发展的关系，将湿地保护与市民游憩和城市发展结合，鼓励开展符合湿地保护要求的生态游憩、生态教育自然体验等活动。落实建立健全生态产品价值实现机制要求，促进湿地生态资源价值转化，构建集农旅休闲、科普教育、文化娱乐、养生宜居为一体的湿地生态旅游体系，充分发挥湿地的科普宣教功能，并通过以生态旅游活动为核心带动，促进区域特色生态农业和绿色低碳循环产业发展，打造“两山”理念转化基地,助力全域生态文明建设水平提升。</w:t>
      </w:r>
    </w:p>
    <w:p w14:paraId="2E050F6D">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生态旅游活动只能在重要湿地和一般湿地名录外围进行，避免对重要湿地及一般湿地名录造成干扰，以自然保护为前提，基于严格的环境容量限制，开展休闲、度假、游憩、科普、环保、探险等生态旅游项目。在满足湿地管理要求的前提下，可采用“景点+游线”的组织方式，适度建设游览景点和游憩设施，合理设置游览路线，满足生态游需求，塑造多样湿地特色。旅游区域和服务区域适度集中，不破坏区域生态环境，不对保护对象和科学实验活动造成干扰。旅游景点不破坏原有自然风貌，不进行大规模开发和整饰，旅游设施以自然和传统风格为主强调人与自然和谐统一，并与自然景观和传统生产生活方式协调。</w:t>
      </w:r>
    </w:p>
    <w:p w14:paraId="574AA50B">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在符合生态保护红线、湿地和自然保护区相关法律法规规定前提下，拓展生态产品价值实现模式，既严格保护又便于操作，实行差别化管控，根据功能定位，分类开展湿地利用活动，避免同质化。有效落实中办、国办《关于建立健全生态产品价值实现机制的意见》和天津市委办公厅、市政府办公厅《天津市建立健全生态产品价值实现机制的实施方案》，在严格保护生态环境前提下，鼓励采取多样化模式和路径，科学合理推动生态产品价值实现。依托优美自然风光、历史文化遗存，在科学合法合规的前提下，实施乡村文旅深度融合工程，培育生态旅游、森林康养、休闲露营等新业态，推进乡村民宿规范发展、提升品质。鼓励湿地周边的单位和个人开展符合湿地保护要求的生态旅游、生态农业、生态教育、自然体验等活动，适度控制种植养殖等湿地利用规模。各级人民政府应当鼓励有关单位优先安排当地居民参与湿地管护。切实利用好生态资源，推动周边区域健康休闲观光产业发展，让绿水青山变成更多金山银山。</w:t>
      </w:r>
    </w:p>
    <w:p w14:paraId="65AA6AEA">
      <w:pPr>
        <w:pStyle w:val="3"/>
        <w:spacing w:before="0" w:after="0" w:line="600" w:lineRule="exact"/>
        <w:rPr>
          <w:rFonts w:ascii="Times New Roman" w:hAnsi="Times New Roman" w:eastAsia="黑体" w:cs="Times New Roman"/>
          <w:sz w:val="34"/>
          <w:szCs w:val="34"/>
        </w:rPr>
      </w:pPr>
      <w:bookmarkStart w:id="19" w:name="_Toc210566622"/>
      <w:r>
        <w:rPr>
          <w:rFonts w:ascii="Times New Roman" w:hAnsi="Times New Roman" w:eastAsia="黑体" w:cs="Times New Roman"/>
          <w:sz w:val="34"/>
          <w:szCs w:val="34"/>
        </w:rPr>
        <w:t>（五）强化湿地监测评估</w:t>
      </w:r>
      <w:bookmarkEnd w:id="19"/>
      <w:r>
        <w:rPr>
          <w:rFonts w:hint="eastAsia" w:ascii="Times New Roman" w:hAnsi="Times New Roman" w:eastAsia="黑体" w:cs="Times New Roman"/>
          <w:sz w:val="34"/>
          <w:szCs w:val="34"/>
        </w:rPr>
        <w:t>与科学研究</w:t>
      </w:r>
    </w:p>
    <w:p w14:paraId="2B3E9069">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加强湿地资源监测。对湿地内物种数量、质量、分布及动态变化情况进行监测，对国家重点保护动物与其它关键物种和环境因子进行观测，有针对性地对区内受损、退化生境实行生态修复地实验和研究。结合湿地气象水文中心，对湿地的气候、土壤、水文、污染源、饮用水等非生物生态指标进行的监测。对人为干扰、自然干扰、生物干扰等湿地生态环境负面影响因素进行监测，控制人为活动、湿地火灾、病虫灾害等干扰影响，配合湿地防灾减灾。对湿地内生态修复工程实施区域进行监测评估，通过对水生态环境、植被覆盖度、物种多样性、湿地生态质量等要素评价，分析生态修复实施成效，确保受损区域生态恢复效果。</w:t>
      </w:r>
    </w:p>
    <w:p w14:paraId="53E47589">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加强湿地保护监管。区人民政府自然资源、林业、水务、城市管理、生态环境、农业农村主管部门，严格依据《中华人民共和国湿地保护法》《天津市湿地保护条例》和国家关于生态环境保护、水资源保护的法律法规要求，加强对湿地保护、修复、利用活动监管，依法查处破坏湿地的违法行为。区人民政府落实属地责任，加强湿地资源监督检查，完善执法队伍建设，严厉打击违法占用、开采、开垦、填埋污染湿地等行为，加强重要湿地保护。</w:t>
      </w:r>
    </w:p>
    <w:p w14:paraId="7E7DDFC2">
      <w:pPr>
        <w:spacing w:line="600" w:lineRule="exact"/>
        <w:ind w:firstLine="680" w:firstLineChars="200"/>
        <w:rPr>
          <w:rFonts w:ascii="Times New Roman" w:hAnsi="Times New Roman" w:eastAsia="仿宋_GB2312" w:cs="Times New Roman"/>
          <w:sz w:val="28"/>
          <w:szCs w:val="28"/>
        </w:rPr>
      </w:pPr>
      <w:r>
        <w:rPr>
          <w:rFonts w:ascii="Times New Roman" w:hAnsi="Times New Roman" w:eastAsia="仿宋_GB2312" w:cs="Times New Roman"/>
          <w:sz w:val="34"/>
          <w:szCs w:val="34"/>
        </w:rPr>
        <w:t>加强湿地科学研究。针对武清湿地生态特点，加强相关湿地基础和应用科学研究，对湿地保护基础理论、湿地恢复与演替内在规律、湿地生物多样性支持机制、湿地关键物种栖息与繁殖等基础理论问题，开展相关研究工作。结合湿地保护与修复需求，加强湿地保护与修复、污染防治、可持续利用、监测管理与评估等方面技术和标准研究，开展科技推广与示范，制定相关技术与部门管理规章，指导更高水平湿地保护修复工程建设。加强与高校和研究院所合作，鼓励其从事湿地保护与修复相关研究，建立湿地保护管理决策的科技支撑机制，促进更高水平的湿地保护与管理。</w:t>
      </w:r>
    </w:p>
    <w:p w14:paraId="3DFE1142">
      <w:pPr>
        <w:pStyle w:val="3"/>
        <w:spacing w:before="0" w:after="0" w:line="600" w:lineRule="exact"/>
        <w:rPr>
          <w:rFonts w:ascii="Times New Roman" w:hAnsi="Times New Roman" w:eastAsia="黑体" w:cs="Times New Roman"/>
          <w:sz w:val="34"/>
          <w:szCs w:val="34"/>
        </w:rPr>
      </w:pPr>
      <w:bookmarkStart w:id="20" w:name="_Toc210566623"/>
      <w:r>
        <w:rPr>
          <w:rFonts w:ascii="Times New Roman" w:hAnsi="Times New Roman" w:eastAsia="黑体" w:cs="Times New Roman"/>
          <w:sz w:val="34"/>
          <w:szCs w:val="34"/>
        </w:rPr>
        <w:t>（六）注重湿地保护合作交流</w:t>
      </w:r>
      <w:bookmarkEnd w:id="20"/>
    </w:p>
    <w:p w14:paraId="56E8ED83">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切实加强湿地履约，严格保护武清湿地，将城市发展与湿地保护深度融合。积极开展国际与国内合作，引入先进的湿地保护理念、技术和经验，提高工程项目的实施水平和效果，并为湿地保护研究与实践贡献武清智慧。</w:t>
      </w:r>
    </w:p>
    <w:p w14:paraId="40ECA0F1">
      <w:pPr>
        <w:widowControl/>
        <w:jc w:val="left"/>
        <w:rPr>
          <w:rFonts w:ascii="Times New Roman" w:hAnsi="Times New Roman" w:eastAsia="仿宋_GB2312" w:cs="Times New Roman"/>
          <w:b/>
          <w:bCs/>
          <w:kern w:val="44"/>
          <w:sz w:val="36"/>
          <w:szCs w:val="36"/>
        </w:rPr>
      </w:pPr>
      <w:r>
        <w:rPr>
          <w:rFonts w:ascii="Times New Roman" w:hAnsi="Times New Roman" w:eastAsia="仿宋_GB2312" w:cs="Times New Roman"/>
          <w:sz w:val="36"/>
          <w:szCs w:val="36"/>
        </w:rPr>
        <w:br w:type="page"/>
      </w:r>
    </w:p>
    <w:p w14:paraId="50E71C09">
      <w:pPr>
        <w:pStyle w:val="2"/>
        <w:jc w:val="center"/>
        <w:rPr>
          <w:rFonts w:ascii="Times New Roman" w:hAnsi="Times New Roman" w:eastAsia="方正小标宋简体" w:cs="Times New Roman"/>
        </w:rPr>
      </w:pPr>
      <w:bookmarkStart w:id="21" w:name="_Toc210566624"/>
      <w:r>
        <w:rPr>
          <w:rFonts w:ascii="Times New Roman" w:hAnsi="Times New Roman" w:eastAsia="方正小标宋简体" w:cs="Times New Roman"/>
        </w:rPr>
        <w:t>第五章 保障措施</w:t>
      </w:r>
      <w:bookmarkEnd w:id="21"/>
    </w:p>
    <w:p w14:paraId="4D2B60FB">
      <w:pPr>
        <w:pStyle w:val="3"/>
        <w:spacing w:before="0" w:after="0" w:line="600" w:lineRule="exact"/>
        <w:rPr>
          <w:rFonts w:ascii="Times New Roman" w:hAnsi="Times New Roman" w:eastAsia="黑体" w:cs="Times New Roman"/>
          <w:sz w:val="34"/>
          <w:szCs w:val="34"/>
        </w:rPr>
      </w:pPr>
      <w:bookmarkStart w:id="22" w:name="_Toc210566625"/>
      <w:r>
        <w:rPr>
          <w:rFonts w:ascii="Times New Roman" w:hAnsi="Times New Roman" w:eastAsia="黑体" w:cs="Times New Roman"/>
          <w:sz w:val="34"/>
          <w:szCs w:val="34"/>
        </w:rPr>
        <w:t>（一）加强组织推动</w:t>
      </w:r>
      <w:bookmarkEnd w:id="22"/>
    </w:p>
    <w:p w14:paraId="1434639D">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贯彻生态文明建设要求，落实湿地保护制度。区人民政府对本行政区域内的湿地保护负责，采取措施保持湿地面积稳定，提升湿地生态功能。强化部门协调机制，自然资源、林业、水务、城市管理、生态环境、农业农村等主管部门要强化责任、密切配合、协调行动，积极支持湿地保护工作，科学细化湿地保护重点任务和工程措施，落实规划内容。定期开展监测评估，适时发布结果。</w:t>
      </w:r>
    </w:p>
    <w:p w14:paraId="38DE3D20">
      <w:pPr>
        <w:pStyle w:val="3"/>
        <w:spacing w:before="0" w:after="0" w:line="600" w:lineRule="exact"/>
        <w:rPr>
          <w:rFonts w:ascii="Times New Roman" w:hAnsi="Times New Roman" w:eastAsia="黑体" w:cs="Times New Roman"/>
          <w:sz w:val="34"/>
          <w:szCs w:val="34"/>
        </w:rPr>
      </w:pPr>
      <w:bookmarkStart w:id="23" w:name="_Toc210566626"/>
      <w:r>
        <w:rPr>
          <w:rFonts w:ascii="Times New Roman" w:hAnsi="Times New Roman" w:eastAsia="黑体" w:cs="Times New Roman"/>
          <w:sz w:val="34"/>
          <w:szCs w:val="34"/>
        </w:rPr>
        <w:t>（二）完善制度机制</w:t>
      </w:r>
      <w:bookmarkEnd w:id="23"/>
    </w:p>
    <w:p w14:paraId="40DBCC37">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加强组织推动。建立强有力的领导机构和高效、灵活的工作机制。区人民政府加强对本行政区域湿地保护工作的组织领导，将湿地保护工作纳入国民经济和社会发展规划，各相关部门</w:t>
      </w:r>
      <w:r>
        <w:rPr>
          <w:rFonts w:hint="eastAsia" w:ascii="Times New Roman" w:hAnsi="Times New Roman" w:eastAsia="仿宋_GB2312" w:cs="Times New Roman"/>
          <w:sz w:val="34"/>
          <w:szCs w:val="34"/>
        </w:rPr>
        <w:t>加强联动，强化工作措施，</w:t>
      </w:r>
      <w:r>
        <w:rPr>
          <w:rFonts w:ascii="Times New Roman" w:hAnsi="Times New Roman" w:eastAsia="仿宋_GB2312" w:cs="Times New Roman"/>
          <w:sz w:val="34"/>
          <w:szCs w:val="34"/>
        </w:rPr>
        <w:t>按照职责合理分工、密切配合、各司其职，切实保障湿地</w:t>
      </w:r>
      <w:r>
        <w:rPr>
          <w:rFonts w:hint="eastAsia" w:ascii="Times New Roman" w:hAnsi="Times New Roman" w:eastAsia="仿宋_GB2312" w:cs="Times New Roman"/>
          <w:sz w:val="34"/>
          <w:szCs w:val="34"/>
        </w:rPr>
        <w:t>保护</w:t>
      </w:r>
      <w:r>
        <w:rPr>
          <w:rFonts w:ascii="Times New Roman" w:hAnsi="Times New Roman" w:eastAsia="仿宋_GB2312" w:cs="Times New Roman"/>
          <w:sz w:val="34"/>
          <w:szCs w:val="34"/>
        </w:rPr>
        <w:t>修复工程的开展。健全制度政策。区政府应当以政策为引导，加以扶持。建立政策保障体系，制定规划项目优先落实资金和审批制度。</w:t>
      </w:r>
    </w:p>
    <w:p w14:paraId="4B3640C8">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衔接《中华人民共和国水法》《中华人民共和国环境保护法》《中华人民共和国野生动物保护法》《中华人民共和国野生植物保护条例》《中华人民共和国自然保护区条例》等相关法律法规，落实林长制与河湖长制相关要求，严厉打击违法围填湿地、排放污染物、破坏湿地植被、破坏湿地生态环境等违法违规行为。强化各湿地自然保护地湿地监管和湿地保护能力建设。</w:t>
      </w:r>
    </w:p>
    <w:p w14:paraId="7B601A96">
      <w:pPr>
        <w:pStyle w:val="3"/>
        <w:spacing w:before="0" w:after="0" w:line="600" w:lineRule="exact"/>
        <w:rPr>
          <w:rFonts w:ascii="Times New Roman" w:hAnsi="Times New Roman" w:eastAsia="黑体" w:cs="Times New Roman"/>
          <w:sz w:val="34"/>
          <w:szCs w:val="34"/>
        </w:rPr>
      </w:pPr>
      <w:bookmarkStart w:id="24" w:name="_Toc210566627"/>
      <w:r>
        <w:rPr>
          <w:rFonts w:ascii="Times New Roman" w:hAnsi="Times New Roman" w:eastAsia="黑体" w:cs="Times New Roman"/>
          <w:sz w:val="34"/>
          <w:szCs w:val="34"/>
        </w:rPr>
        <w:t>（三）落实规划传导</w:t>
      </w:r>
      <w:bookmarkEnd w:id="24"/>
    </w:p>
    <w:p w14:paraId="30E8D5D8">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本规划为后期项目实施建设提供上位规划依据，湿地保护修复工程具体位置应在项目工程设计中予以落实。区相关职能部门要建立严格的规划成果保护机制，将湿地规划落实到各级规划控制和建设管理中，在严格保护的前提下，妥善处理湿地保护与发展的关系。区人民政府要根据职责明确责任主体，落实职责分工，将规划成果落实到各级规划编制中，协调好湿地保护与属地发展之间的关系。</w:t>
      </w:r>
    </w:p>
    <w:p w14:paraId="6F6081ED">
      <w:pPr>
        <w:pStyle w:val="3"/>
        <w:spacing w:before="0" w:after="0" w:line="600" w:lineRule="exact"/>
        <w:rPr>
          <w:rFonts w:ascii="Times New Roman" w:hAnsi="Times New Roman" w:eastAsia="黑体" w:cs="Times New Roman"/>
          <w:sz w:val="34"/>
          <w:szCs w:val="34"/>
        </w:rPr>
      </w:pPr>
      <w:bookmarkStart w:id="25" w:name="_Toc210566628"/>
      <w:r>
        <w:rPr>
          <w:rFonts w:ascii="Times New Roman" w:hAnsi="Times New Roman" w:eastAsia="黑体" w:cs="Times New Roman"/>
          <w:sz w:val="34"/>
          <w:szCs w:val="34"/>
        </w:rPr>
        <w:t>（四）加强科教宣传</w:t>
      </w:r>
      <w:bookmarkEnd w:id="25"/>
    </w:p>
    <w:p w14:paraId="646565B8">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加强湿地保护关键技术科研攻关，支持新技术、新工艺、新材料、新设备的研究开发，推动先进实用技术设备集成、示范和应用。鼓励引导建立湿地保护与利用产业技术创新联盟，打造高水平的湿地资源高效循环利用产业。</w:t>
      </w:r>
    </w:p>
    <w:p w14:paraId="20FC312B">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加强湿地保护宣传，提升公众湿地保护意识，创新公众参与湿地保护和修复模式。加强湿地可持续利用建设，提供公众亲近湿地、了解湿地、体验湿地的场所，营造重视湿地、爱护湿地和保护湿地的良好社会氛围。</w:t>
      </w:r>
    </w:p>
    <w:p w14:paraId="05F6F2A0">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在湿地合理利用区域，面向公众开展湿地科普宣传教育利用互联网、移动媒体等手段，普及湿地科学知识。抓好广大中小学生湿地保护知识教育，树立湿地保护意识。完善湿地保护志愿者制度，鼓励有条件的区成立志愿者组织，动员公众参与湿地保护和相关知识传播。</w:t>
      </w:r>
    </w:p>
    <w:p w14:paraId="6DC699D9">
      <w:pPr>
        <w:pStyle w:val="3"/>
        <w:spacing w:before="0" w:after="0" w:line="600" w:lineRule="exact"/>
        <w:rPr>
          <w:rFonts w:ascii="Times New Roman" w:hAnsi="Times New Roman" w:eastAsia="黑体" w:cs="Times New Roman"/>
          <w:sz w:val="34"/>
          <w:szCs w:val="34"/>
        </w:rPr>
      </w:pPr>
      <w:bookmarkStart w:id="26" w:name="_Toc210566629"/>
      <w:r>
        <w:rPr>
          <w:rFonts w:ascii="Times New Roman" w:hAnsi="Times New Roman" w:eastAsia="黑体" w:cs="Times New Roman"/>
          <w:sz w:val="34"/>
          <w:szCs w:val="34"/>
        </w:rPr>
        <w:t>（五）强化资金保障</w:t>
      </w:r>
      <w:bookmarkEnd w:id="26"/>
    </w:p>
    <w:p w14:paraId="7708FCBC">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将开展湿地保护工作所需经费按照事权划分原则列入预算，积极争取国家和天津市政策与资金支持，加大对重要湿地保护的财政投入。发挥政府投资的主导作用，充分吸纳社会资金用于湿地保护修复与可持续利用工程建设，形成多渠道、多层次、多形式的湿地保护建设投资体系。防范地方政府债务风险，防止各级政府以项目建设名义盲目举债，坚决遏制地方政府新增隐性债务。遵循政府主导、社会参与、权责一致、突出重点、稳步推进的原则，落实《天津市湿地生态补偿办法》，完善湿地保护生态补偿机制，促进湿地保护与修复。</w:t>
      </w:r>
    </w:p>
    <w:p w14:paraId="2ED4AF82">
      <w:pPr>
        <w:pStyle w:val="3"/>
        <w:spacing w:before="0" w:after="0" w:line="600" w:lineRule="exact"/>
        <w:rPr>
          <w:rFonts w:ascii="Times New Roman" w:hAnsi="Times New Roman" w:eastAsia="黑体" w:cs="Times New Roman"/>
          <w:sz w:val="34"/>
          <w:szCs w:val="34"/>
        </w:rPr>
      </w:pPr>
      <w:bookmarkStart w:id="27" w:name="_Toc210566630"/>
      <w:r>
        <w:rPr>
          <w:rFonts w:ascii="Times New Roman" w:hAnsi="Times New Roman" w:eastAsia="黑体" w:cs="Times New Roman"/>
          <w:sz w:val="34"/>
          <w:szCs w:val="34"/>
        </w:rPr>
        <w:t>（六）加强监督管理</w:t>
      </w:r>
      <w:bookmarkEnd w:id="27"/>
    </w:p>
    <w:p w14:paraId="305DE7C4">
      <w:pPr>
        <w:spacing w:line="600" w:lineRule="exact"/>
        <w:ind w:firstLine="680" w:firstLineChars="200"/>
        <w:rPr>
          <w:rFonts w:ascii="Times New Roman" w:hAnsi="Times New Roman" w:eastAsia="仿宋_GB2312" w:cs="Times New Roman"/>
          <w:sz w:val="34"/>
          <w:szCs w:val="34"/>
        </w:rPr>
      </w:pPr>
      <w:r>
        <w:rPr>
          <w:rFonts w:ascii="Times New Roman" w:hAnsi="Times New Roman" w:eastAsia="仿宋_GB2312" w:cs="Times New Roman"/>
          <w:sz w:val="34"/>
          <w:szCs w:val="34"/>
        </w:rPr>
        <w:t>推进政务公开，及时发布政策文件、规划方案、湿地保护状况、湿地修复建设等相关信息，加强跨部门协作，推动建立数据要素共建共享机制。加强对重要湿地的水量水质监督检查，保障非常规水源安全利用。对湿地保护利用修复设施与主体工程同时设计、同时施工、同时投产情况进行监督检查，必要时对湿地水量、水质开展监督性计量监测，督促相关单位落实安全风险防控责任。</w:t>
      </w:r>
    </w:p>
    <w:p w14:paraId="1D91265E">
      <w:pPr>
        <w:spacing w:line="6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br w:type="page"/>
      </w:r>
    </w:p>
    <w:p w14:paraId="1EA17A94">
      <w:pPr>
        <w:pStyle w:val="2"/>
        <w:jc w:val="center"/>
        <w:rPr>
          <w:rFonts w:ascii="Times New Roman" w:hAnsi="Times New Roman" w:eastAsia="方正小标宋简体" w:cs="Times New Roman"/>
        </w:rPr>
      </w:pPr>
      <w:bookmarkStart w:id="28" w:name="_Toc210566631"/>
      <w:r>
        <w:rPr>
          <w:rFonts w:ascii="Times New Roman" w:hAnsi="Times New Roman" w:eastAsia="方正小标宋简体" w:cs="Times New Roman"/>
        </w:rPr>
        <w:t>附表1 武清区重要湿地名录</w:t>
      </w:r>
      <w:bookmarkEnd w:id="28"/>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706"/>
        <w:gridCol w:w="876"/>
        <w:gridCol w:w="871"/>
        <w:gridCol w:w="978"/>
        <w:gridCol w:w="1498"/>
        <w:gridCol w:w="1348"/>
        <w:gridCol w:w="789"/>
        <w:gridCol w:w="1003"/>
      </w:tblGrid>
      <w:tr w14:paraId="709C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6" w:type="pct"/>
            <w:vMerge w:val="restart"/>
            <w:vAlign w:val="center"/>
          </w:tcPr>
          <w:p w14:paraId="770E440D">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序号</w:t>
            </w:r>
          </w:p>
        </w:tc>
        <w:tc>
          <w:tcPr>
            <w:tcW w:w="414" w:type="pct"/>
            <w:vMerge w:val="restart"/>
            <w:vAlign w:val="center"/>
          </w:tcPr>
          <w:p w14:paraId="7955B096">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级别</w:t>
            </w:r>
          </w:p>
        </w:tc>
        <w:tc>
          <w:tcPr>
            <w:tcW w:w="514" w:type="pct"/>
            <w:vMerge w:val="restart"/>
            <w:vAlign w:val="center"/>
          </w:tcPr>
          <w:p w14:paraId="67647316">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湿地名称</w:t>
            </w:r>
          </w:p>
        </w:tc>
        <w:tc>
          <w:tcPr>
            <w:tcW w:w="511" w:type="pct"/>
            <w:vMerge w:val="restart"/>
            <w:vAlign w:val="center"/>
          </w:tcPr>
          <w:p w14:paraId="139FF1EE">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地理位置</w:t>
            </w:r>
          </w:p>
        </w:tc>
        <w:tc>
          <w:tcPr>
            <w:tcW w:w="574" w:type="pct"/>
            <w:vMerge w:val="restart"/>
            <w:vAlign w:val="center"/>
          </w:tcPr>
          <w:p w14:paraId="7A10F041">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类型</w:t>
            </w:r>
          </w:p>
        </w:tc>
        <w:tc>
          <w:tcPr>
            <w:tcW w:w="879" w:type="pct"/>
            <w:vMerge w:val="restart"/>
            <w:vAlign w:val="center"/>
          </w:tcPr>
          <w:p w14:paraId="76DDE1AD">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主要保护内容</w:t>
            </w:r>
          </w:p>
        </w:tc>
        <w:tc>
          <w:tcPr>
            <w:tcW w:w="791" w:type="pct"/>
            <w:vMerge w:val="restart"/>
            <w:vAlign w:val="center"/>
          </w:tcPr>
          <w:p w14:paraId="392791A0">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保护标准</w:t>
            </w:r>
          </w:p>
        </w:tc>
        <w:tc>
          <w:tcPr>
            <w:tcW w:w="463" w:type="pct"/>
            <w:vMerge w:val="restart"/>
            <w:vAlign w:val="center"/>
          </w:tcPr>
          <w:p w14:paraId="3E0A70A1">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保护级别</w:t>
            </w:r>
          </w:p>
        </w:tc>
        <w:tc>
          <w:tcPr>
            <w:tcW w:w="588" w:type="pct"/>
            <w:vMerge w:val="restart"/>
            <w:vAlign w:val="center"/>
          </w:tcPr>
          <w:p w14:paraId="318FB199">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总面积（平方公里）</w:t>
            </w:r>
          </w:p>
        </w:tc>
      </w:tr>
      <w:tr w14:paraId="1F53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6" w:type="pct"/>
            <w:vMerge w:val="continue"/>
            <w:vAlign w:val="center"/>
          </w:tcPr>
          <w:p w14:paraId="51BB6C38">
            <w:pPr>
              <w:widowControl/>
              <w:jc w:val="center"/>
              <w:rPr>
                <w:rFonts w:ascii="Times New Roman" w:hAnsi="Times New Roman" w:eastAsia="仿宋_GB2312" w:cs="Times New Roman"/>
                <w:b/>
                <w:bCs/>
                <w:kern w:val="0"/>
                <w:szCs w:val="21"/>
              </w:rPr>
            </w:pPr>
          </w:p>
        </w:tc>
        <w:tc>
          <w:tcPr>
            <w:tcW w:w="414" w:type="pct"/>
            <w:vMerge w:val="continue"/>
            <w:vAlign w:val="center"/>
          </w:tcPr>
          <w:p w14:paraId="1E339310">
            <w:pPr>
              <w:widowControl/>
              <w:jc w:val="center"/>
              <w:rPr>
                <w:rFonts w:ascii="Times New Roman" w:hAnsi="Times New Roman" w:eastAsia="仿宋_GB2312" w:cs="Times New Roman"/>
                <w:b/>
                <w:bCs/>
                <w:kern w:val="0"/>
                <w:szCs w:val="21"/>
              </w:rPr>
            </w:pPr>
          </w:p>
        </w:tc>
        <w:tc>
          <w:tcPr>
            <w:tcW w:w="514" w:type="pct"/>
            <w:vMerge w:val="continue"/>
            <w:vAlign w:val="center"/>
          </w:tcPr>
          <w:p w14:paraId="3B9D83CF">
            <w:pPr>
              <w:widowControl/>
              <w:jc w:val="center"/>
              <w:rPr>
                <w:rFonts w:ascii="Times New Roman" w:hAnsi="Times New Roman" w:eastAsia="仿宋_GB2312" w:cs="Times New Roman"/>
                <w:b/>
                <w:bCs/>
                <w:kern w:val="0"/>
                <w:szCs w:val="21"/>
              </w:rPr>
            </w:pPr>
          </w:p>
        </w:tc>
        <w:tc>
          <w:tcPr>
            <w:tcW w:w="511" w:type="pct"/>
            <w:vMerge w:val="continue"/>
            <w:vAlign w:val="center"/>
          </w:tcPr>
          <w:p w14:paraId="24D6827A">
            <w:pPr>
              <w:widowControl/>
              <w:jc w:val="center"/>
              <w:rPr>
                <w:rFonts w:ascii="Times New Roman" w:hAnsi="Times New Roman" w:eastAsia="仿宋_GB2312" w:cs="Times New Roman"/>
                <w:b/>
                <w:bCs/>
                <w:kern w:val="0"/>
                <w:szCs w:val="21"/>
              </w:rPr>
            </w:pPr>
          </w:p>
        </w:tc>
        <w:tc>
          <w:tcPr>
            <w:tcW w:w="574" w:type="pct"/>
            <w:vMerge w:val="continue"/>
            <w:vAlign w:val="center"/>
          </w:tcPr>
          <w:p w14:paraId="545859D6">
            <w:pPr>
              <w:widowControl/>
              <w:jc w:val="center"/>
              <w:rPr>
                <w:rFonts w:ascii="Times New Roman" w:hAnsi="Times New Roman" w:eastAsia="仿宋_GB2312" w:cs="Times New Roman"/>
                <w:b/>
                <w:bCs/>
                <w:kern w:val="0"/>
                <w:szCs w:val="21"/>
              </w:rPr>
            </w:pPr>
          </w:p>
        </w:tc>
        <w:tc>
          <w:tcPr>
            <w:tcW w:w="879" w:type="pct"/>
            <w:vMerge w:val="continue"/>
            <w:vAlign w:val="center"/>
          </w:tcPr>
          <w:p w14:paraId="5C7B4693">
            <w:pPr>
              <w:widowControl/>
              <w:jc w:val="center"/>
              <w:rPr>
                <w:rFonts w:ascii="Times New Roman" w:hAnsi="Times New Roman" w:eastAsia="仿宋_GB2312" w:cs="Times New Roman"/>
                <w:b/>
                <w:bCs/>
                <w:kern w:val="0"/>
                <w:szCs w:val="21"/>
              </w:rPr>
            </w:pPr>
          </w:p>
        </w:tc>
        <w:tc>
          <w:tcPr>
            <w:tcW w:w="791" w:type="pct"/>
            <w:vMerge w:val="continue"/>
            <w:vAlign w:val="center"/>
          </w:tcPr>
          <w:p w14:paraId="004F5B75">
            <w:pPr>
              <w:widowControl/>
              <w:jc w:val="center"/>
              <w:rPr>
                <w:rFonts w:ascii="Times New Roman" w:hAnsi="Times New Roman" w:eastAsia="仿宋_GB2312" w:cs="Times New Roman"/>
                <w:b/>
                <w:bCs/>
                <w:kern w:val="0"/>
                <w:szCs w:val="21"/>
              </w:rPr>
            </w:pPr>
          </w:p>
        </w:tc>
        <w:tc>
          <w:tcPr>
            <w:tcW w:w="463" w:type="pct"/>
            <w:vMerge w:val="continue"/>
            <w:vAlign w:val="center"/>
          </w:tcPr>
          <w:p w14:paraId="7F745A1D">
            <w:pPr>
              <w:widowControl/>
              <w:jc w:val="center"/>
              <w:rPr>
                <w:rFonts w:ascii="Times New Roman" w:hAnsi="Times New Roman" w:eastAsia="仿宋_GB2312" w:cs="Times New Roman"/>
                <w:b/>
                <w:bCs/>
                <w:kern w:val="0"/>
                <w:szCs w:val="21"/>
              </w:rPr>
            </w:pPr>
          </w:p>
        </w:tc>
        <w:tc>
          <w:tcPr>
            <w:tcW w:w="588" w:type="pct"/>
            <w:vMerge w:val="continue"/>
            <w:vAlign w:val="center"/>
          </w:tcPr>
          <w:p w14:paraId="2DB1F6BC">
            <w:pPr>
              <w:widowControl/>
              <w:jc w:val="center"/>
              <w:rPr>
                <w:rFonts w:ascii="Times New Roman" w:hAnsi="Times New Roman" w:eastAsia="仿宋_GB2312" w:cs="Times New Roman"/>
                <w:b/>
                <w:bCs/>
                <w:kern w:val="0"/>
                <w:szCs w:val="21"/>
              </w:rPr>
            </w:pPr>
          </w:p>
        </w:tc>
      </w:tr>
      <w:tr w14:paraId="012C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66" w:type="pct"/>
            <w:vAlign w:val="center"/>
          </w:tcPr>
          <w:p w14:paraId="5B46FAA1">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414" w:type="pct"/>
            <w:vAlign w:val="center"/>
          </w:tcPr>
          <w:p w14:paraId="4D09DE29">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国家重要湿地</w:t>
            </w:r>
          </w:p>
        </w:tc>
        <w:tc>
          <w:tcPr>
            <w:tcW w:w="514" w:type="pct"/>
            <w:vAlign w:val="center"/>
          </w:tcPr>
          <w:p w14:paraId="0E9CA569">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天津市武清区大黄堡国家重要湿地</w:t>
            </w:r>
          </w:p>
        </w:tc>
        <w:tc>
          <w:tcPr>
            <w:tcW w:w="511" w:type="pct"/>
            <w:vAlign w:val="center"/>
          </w:tcPr>
          <w:p w14:paraId="2A8270CE">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大黄堡镇、崔黄口镇、上马台镇</w:t>
            </w:r>
          </w:p>
        </w:tc>
        <w:tc>
          <w:tcPr>
            <w:tcW w:w="574" w:type="pct"/>
            <w:vAlign w:val="center"/>
          </w:tcPr>
          <w:p w14:paraId="692E697F">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沼泽湿地、人工湿地</w:t>
            </w:r>
          </w:p>
        </w:tc>
        <w:tc>
          <w:tcPr>
            <w:tcW w:w="879" w:type="pct"/>
            <w:vAlign w:val="center"/>
          </w:tcPr>
          <w:p w14:paraId="34922519">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湿地生态系统及其生物多样性，包括鸟类和其他野生动物、珍稀濒危物种等</w:t>
            </w:r>
          </w:p>
        </w:tc>
        <w:tc>
          <w:tcPr>
            <w:tcW w:w="791" w:type="pct"/>
            <w:vAlign w:val="center"/>
          </w:tcPr>
          <w:p w14:paraId="65A60280">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湿地面积不减少，保护区功能稳定，动植物种群稳定</w:t>
            </w:r>
          </w:p>
        </w:tc>
        <w:tc>
          <w:tcPr>
            <w:tcW w:w="463" w:type="pct"/>
            <w:vAlign w:val="center"/>
          </w:tcPr>
          <w:p w14:paraId="2CBAE136">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国家级自然保护区</w:t>
            </w:r>
          </w:p>
        </w:tc>
        <w:tc>
          <w:tcPr>
            <w:tcW w:w="588" w:type="pct"/>
            <w:vAlign w:val="center"/>
          </w:tcPr>
          <w:p w14:paraId="185E9FFF">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42.01</w:t>
            </w:r>
          </w:p>
        </w:tc>
      </w:tr>
      <w:tr w14:paraId="4B6B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66" w:type="pct"/>
            <w:vAlign w:val="center"/>
          </w:tcPr>
          <w:p w14:paraId="2E2D12D7">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c>
          <w:tcPr>
            <w:tcW w:w="414" w:type="pct"/>
            <w:vAlign w:val="center"/>
          </w:tcPr>
          <w:p w14:paraId="123894C1">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市级重要湿地</w:t>
            </w:r>
          </w:p>
        </w:tc>
        <w:tc>
          <w:tcPr>
            <w:tcW w:w="514" w:type="pct"/>
            <w:vAlign w:val="center"/>
          </w:tcPr>
          <w:p w14:paraId="1FAF7C81">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天津市永定河故道重要湿地</w:t>
            </w:r>
          </w:p>
        </w:tc>
        <w:tc>
          <w:tcPr>
            <w:tcW w:w="511" w:type="pct"/>
            <w:vAlign w:val="center"/>
          </w:tcPr>
          <w:p w14:paraId="2A482E87">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黄庄街道</w:t>
            </w:r>
          </w:p>
        </w:tc>
        <w:tc>
          <w:tcPr>
            <w:tcW w:w="574" w:type="pct"/>
            <w:vAlign w:val="center"/>
          </w:tcPr>
          <w:p w14:paraId="2E2DC214">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河流湿地、人工湿地</w:t>
            </w:r>
          </w:p>
        </w:tc>
        <w:tc>
          <w:tcPr>
            <w:tcW w:w="879" w:type="pct"/>
            <w:vAlign w:val="center"/>
          </w:tcPr>
          <w:p w14:paraId="2C7B50F9">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湿地生态系统及其生物多样性</w:t>
            </w:r>
          </w:p>
        </w:tc>
        <w:tc>
          <w:tcPr>
            <w:tcW w:w="791" w:type="pct"/>
            <w:vAlign w:val="center"/>
          </w:tcPr>
          <w:p w14:paraId="11DE182B">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湿地面积不减少，满足行洪、排涝、灌溉、生态景观要求</w:t>
            </w:r>
          </w:p>
        </w:tc>
        <w:tc>
          <w:tcPr>
            <w:tcW w:w="463" w:type="pct"/>
            <w:vAlign w:val="center"/>
          </w:tcPr>
          <w:p w14:paraId="1051F231">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国家湿地公园</w:t>
            </w:r>
          </w:p>
        </w:tc>
        <w:tc>
          <w:tcPr>
            <w:tcW w:w="588" w:type="pct"/>
            <w:vAlign w:val="center"/>
          </w:tcPr>
          <w:p w14:paraId="32C5055A">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0.75</w:t>
            </w:r>
          </w:p>
        </w:tc>
      </w:tr>
      <w:tr w14:paraId="6BEE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66" w:type="pct"/>
            <w:vAlign w:val="center"/>
          </w:tcPr>
          <w:p w14:paraId="6487462A">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c>
          <w:tcPr>
            <w:tcW w:w="414" w:type="pct"/>
            <w:vAlign w:val="center"/>
          </w:tcPr>
          <w:p w14:paraId="349BB172">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市级重要湿地</w:t>
            </w:r>
          </w:p>
        </w:tc>
        <w:tc>
          <w:tcPr>
            <w:tcW w:w="514" w:type="pct"/>
            <w:vAlign w:val="center"/>
          </w:tcPr>
          <w:p w14:paraId="53F32360">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天津市北运河重要湿地</w:t>
            </w:r>
          </w:p>
        </w:tc>
        <w:tc>
          <w:tcPr>
            <w:tcW w:w="511" w:type="pct"/>
            <w:vAlign w:val="center"/>
          </w:tcPr>
          <w:p w14:paraId="31A10639">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下伍旗镇、河西务镇、大孟庄镇、大良镇、南蔡村镇、大碱厂镇、徐官屯街道、下朱庄街道、杨村街道、黄庄街道</w:t>
            </w:r>
          </w:p>
        </w:tc>
        <w:tc>
          <w:tcPr>
            <w:tcW w:w="574" w:type="pct"/>
            <w:vAlign w:val="center"/>
          </w:tcPr>
          <w:p w14:paraId="09788536">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河流湿地、人工湿地</w:t>
            </w:r>
          </w:p>
        </w:tc>
        <w:tc>
          <w:tcPr>
            <w:tcW w:w="879" w:type="pct"/>
            <w:vAlign w:val="center"/>
          </w:tcPr>
          <w:p w14:paraId="6F9B2D8C">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湿地生态系统及其生物多样性</w:t>
            </w:r>
          </w:p>
        </w:tc>
        <w:tc>
          <w:tcPr>
            <w:tcW w:w="791" w:type="pct"/>
            <w:vAlign w:val="center"/>
          </w:tcPr>
          <w:p w14:paraId="2F2F5842">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湿地面积不减少，满足行洪、排涝、灌溉、生态景观要求</w:t>
            </w:r>
          </w:p>
        </w:tc>
        <w:tc>
          <w:tcPr>
            <w:tcW w:w="463" w:type="pct"/>
            <w:vAlign w:val="center"/>
          </w:tcPr>
          <w:p w14:paraId="4659B451">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生态保护红线</w:t>
            </w:r>
          </w:p>
        </w:tc>
        <w:tc>
          <w:tcPr>
            <w:tcW w:w="588" w:type="pct"/>
            <w:vAlign w:val="center"/>
          </w:tcPr>
          <w:p w14:paraId="7A67672E">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5.40</w:t>
            </w:r>
          </w:p>
        </w:tc>
      </w:tr>
      <w:tr w14:paraId="0473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66" w:type="pct"/>
            <w:vAlign w:val="center"/>
          </w:tcPr>
          <w:p w14:paraId="3145CCB4">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4</w:t>
            </w:r>
          </w:p>
        </w:tc>
        <w:tc>
          <w:tcPr>
            <w:tcW w:w="414" w:type="pct"/>
            <w:vAlign w:val="center"/>
          </w:tcPr>
          <w:p w14:paraId="5DCAE1E4">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市级重要湿地</w:t>
            </w:r>
          </w:p>
        </w:tc>
        <w:tc>
          <w:tcPr>
            <w:tcW w:w="514" w:type="pct"/>
            <w:vAlign w:val="center"/>
          </w:tcPr>
          <w:p w14:paraId="4B48D320">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天津市永定河重要湿地</w:t>
            </w:r>
          </w:p>
        </w:tc>
        <w:tc>
          <w:tcPr>
            <w:tcW w:w="511" w:type="pct"/>
            <w:vAlign w:val="center"/>
          </w:tcPr>
          <w:p w14:paraId="43D850A9">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黄花店镇、豆张庄镇、黄庄街道</w:t>
            </w:r>
          </w:p>
        </w:tc>
        <w:tc>
          <w:tcPr>
            <w:tcW w:w="574" w:type="pct"/>
            <w:vAlign w:val="center"/>
          </w:tcPr>
          <w:p w14:paraId="5C9B3BA9">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河流湿地、人工湿地</w:t>
            </w:r>
          </w:p>
        </w:tc>
        <w:tc>
          <w:tcPr>
            <w:tcW w:w="879" w:type="pct"/>
            <w:vAlign w:val="center"/>
          </w:tcPr>
          <w:p w14:paraId="4A4C9B2F">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湿地生态系统及其生物多样性</w:t>
            </w:r>
          </w:p>
        </w:tc>
        <w:tc>
          <w:tcPr>
            <w:tcW w:w="791" w:type="pct"/>
            <w:vAlign w:val="center"/>
          </w:tcPr>
          <w:p w14:paraId="77EA3D47">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湿地面积不减少，满足行洪、排涝、灌溉、生态景观要求</w:t>
            </w:r>
          </w:p>
        </w:tc>
        <w:tc>
          <w:tcPr>
            <w:tcW w:w="463" w:type="pct"/>
            <w:vAlign w:val="center"/>
          </w:tcPr>
          <w:p w14:paraId="703DB983">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生态保护红线</w:t>
            </w:r>
          </w:p>
        </w:tc>
        <w:tc>
          <w:tcPr>
            <w:tcW w:w="588" w:type="pct"/>
            <w:vAlign w:val="center"/>
          </w:tcPr>
          <w:p w14:paraId="0B02C603">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0.66</w:t>
            </w:r>
          </w:p>
        </w:tc>
      </w:tr>
    </w:tbl>
    <w:p w14:paraId="073601CC">
      <w:pPr>
        <w:rPr>
          <w:rFonts w:ascii="Times New Roman" w:hAnsi="Times New Roman" w:cs="Times New Roman"/>
        </w:rPr>
      </w:pPr>
    </w:p>
    <w:p w14:paraId="6479A7A8">
      <w:pPr>
        <w:pStyle w:val="2"/>
        <w:jc w:val="center"/>
        <w:rPr>
          <w:rFonts w:ascii="Times New Roman" w:hAnsi="Times New Roman" w:eastAsia="方正小标宋简体" w:cs="Times New Roman"/>
        </w:rPr>
      </w:pPr>
      <w:bookmarkStart w:id="29" w:name="_Toc210566632"/>
      <w:r>
        <w:rPr>
          <w:rFonts w:ascii="Times New Roman" w:hAnsi="Times New Roman" w:eastAsia="方正小标宋简体" w:cs="Times New Roman"/>
        </w:rPr>
        <w:t>附表2 武清区一般湿地名录</w:t>
      </w:r>
      <w:bookmarkEnd w:id="29"/>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1023"/>
        <w:gridCol w:w="1454"/>
        <w:gridCol w:w="876"/>
        <w:gridCol w:w="1600"/>
        <w:gridCol w:w="1311"/>
        <w:gridCol w:w="888"/>
        <w:gridCol w:w="941"/>
      </w:tblGrid>
      <w:tr w14:paraId="0300C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blHeader/>
        </w:trPr>
        <w:tc>
          <w:tcPr>
            <w:tcW w:w="252" w:type="pct"/>
            <w:vAlign w:val="center"/>
          </w:tcPr>
          <w:p w14:paraId="7E9C6C83">
            <w:pPr>
              <w:widowControl/>
              <w:jc w:val="center"/>
              <w:rPr>
                <w:rFonts w:ascii="Times New Roman" w:hAnsi="Times New Roman" w:eastAsia="仿宋_GB2312" w:cs="Times New Roman"/>
                <w:b/>
                <w:bCs/>
                <w:kern w:val="44"/>
                <w:sz w:val="20"/>
                <w:szCs w:val="20"/>
              </w:rPr>
            </w:pPr>
            <w:r>
              <w:rPr>
                <w:rFonts w:ascii="Times New Roman" w:hAnsi="Times New Roman" w:eastAsia="仿宋_GB2312" w:cs="Times New Roman"/>
                <w:b/>
                <w:bCs/>
                <w:kern w:val="44"/>
                <w:sz w:val="20"/>
                <w:szCs w:val="20"/>
              </w:rPr>
              <w:t>序号</w:t>
            </w:r>
          </w:p>
        </w:tc>
        <w:tc>
          <w:tcPr>
            <w:tcW w:w="600" w:type="pct"/>
            <w:vAlign w:val="center"/>
          </w:tcPr>
          <w:p w14:paraId="51FBC7FD">
            <w:pPr>
              <w:widowControl/>
              <w:jc w:val="center"/>
              <w:rPr>
                <w:rFonts w:ascii="Times New Roman" w:hAnsi="Times New Roman" w:eastAsia="仿宋_GB2312" w:cs="Times New Roman"/>
                <w:b/>
                <w:bCs/>
                <w:kern w:val="44"/>
                <w:sz w:val="20"/>
                <w:szCs w:val="20"/>
              </w:rPr>
            </w:pPr>
            <w:r>
              <w:rPr>
                <w:rFonts w:ascii="Times New Roman" w:hAnsi="Times New Roman" w:eastAsia="仿宋_GB2312" w:cs="Times New Roman"/>
                <w:b/>
                <w:bCs/>
                <w:kern w:val="44"/>
                <w:sz w:val="20"/>
                <w:szCs w:val="20"/>
              </w:rPr>
              <w:t>湿地名称</w:t>
            </w:r>
          </w:p>
        </w:tc>
        <w:tc>
          <w:tcPr>
            <w:tcW w:w="853" w:type="pct"/>
            <w:vAlign w:val="center"/>
          </w:tcPr>
          <w:p w14:paraId="43340C0D">
            <w:pPr>
              <w:widowControl/>
              <w:jc w:val="center"/>
              <w:rPr>
                <w:rFonts w:ascii="Times New Roman" w:hAnsi="Times New Roman" w:eastAsia="仿宋_GB2312" w:cs="Times New Roman"/>
                <w:b/>
                <w:bCs/>
                <w:kern w:val="44"/>
                <w:sz w:val="20"/>
                <w:szCs w:val="20"/>
              </w:rPr>
            </w:pPr>
            <w:r>
              <w:rPr>
                <w:rFonts w:ascii="Times New Roman" w:hAnsi="Times New Roman" w:eastAsia="仿宋_GB2312" w:cs="Times New Roman"/>
                <w:b/>
                <w:bCs/>
                <w:kern w:val="44"/>
                <w:sz w:val="20"/>
                <w:szCs w:val="20"/>
              </w:rPr>
              <w:t>地理位置</w:t>
            </w:r>
          </w:p>
        </w:tc>
        <w:tc>
          <w:tcPr>
            <w:tcW w:w="514" w:type="pct"/>
            <w:vAlign w:val="center"/>
          </w:tcPr>
          <w:p w14:paraId="3EBF3214">
            <w:pPr>
              <w:widowControl/>
              <w:jc w:val="center"/>
              <w:rPr>
                <w:rFonts w:ascii="Times New Roman" w:hAnsi="Times New Roman" w:eastAsia="仿宋_GB2312" w:cs="Times New Roman"/>
                <w:b/>
                <w:bCs/>
                <w:kern w:val="44"/>
                <w:sz w:val="20"/>
                <w:szCs w:val="20"/>
              </w:rPr>
            </w:pPr>
            <w:r>
              <w:rPr>
                <w:rFonts w:ascii="Times New Roman" w:hAnsi="Times New Roman" w:eastAsia="仿宋_GB2312" w:cs="Times New Roman"/>
                <w:b/>
                <w:bCs/>
                <w:kern w:val="44"/>
                <w:sz w:val="20"/>
                <w:szCs w:val="20"/>
              </w:rPr>
              <w:t>类型</w:t>
            </w:r>
          </w:p>
        </w:tc>
        <w:tc>
          <w:tcPr>
            <w:tcW w:w="939" w:type="pct"/>
            <w:vAlign w:val="center"/>
          </w:tcPr>
          <w:p w14:paraId="47F0FD8F">
            <w:pPr>
              <w:widowControl/>
              <w:jc w:val="center"/>
              <w:rPr>
                <w:rFonts w:ascii="Times New Roman" w:hAnsi="Times New Roman" w:eastAsia="仿宋_GB2312" w:cs="Times New Roman"/>
                <w:b/>
                <w:bCs/>
                <w:kern w:val="44"/>
                <w:sz w:val="20"/>
                <w:szCs w:val="20"/>
              </w:rPr>
            </w:pPr>
            <w:r>
              <w:rPr>
                <w:rFonts w:ascii="Times New Roman" w:hAnsi="Times New Roman" w:eastAsia="仿宋_GB2312" w:cs="Times New Roman"/>
                <w:b/>
                <w:bCs/>
                <w:kern w:val="44"/>
                <w:sz w:val="20"/>
                <w:szCs w:val="20"/>
              </w:rPr>
              <w:t>主要保护内容</w:t>
            </w:r>
          </w:p>
        </w:tc>
        <w:tc>
          <w:tcPr>
            <w:tcW w:w="769" w:type="pct"/>
            <w:vAlign w:val="center"/>
          </w:tcPr>
          <w:p w14:paraId="033C3E0E">
            <w:pPr>
              <w:widowControl/>
              <w:jc w:val="center"/>
              <w:rPr>
                <w:rFonts w:ascii="Times New Roman" w:hAnsi="Times New Roman" w:eastAsia="仿宋_GB2312" w:cs="Times New Roman"/>
                <w:b/>
                <w:bCs/>
                <w:kern w:val="44"/>
                <w:sz w:val="20"/>
                <w:szCs w:val="20"/>
              </w:rPr>
            </w:pPr>
            <w:r>
              <w:rPr>
                <w:rFonts w:ascii="Times New Roman" w:hAnsi="Times New Roman" w:eastAsia="仿宋_GB2312" w:cs="Times New Roman"/>
                <w:b/>
                <w:bCs/>
                <w:kern w:val="44"/>
                <w:sz w:val="20"/>
                <w:szCs w:val="20"/>
              </w:rPr>
              <w:t>保护标准</w:t>
            </w:r>
          </w:p>
        </w:tc>
        <w:tc>
          <w:tcPr>
            <w:tcW w:w="521" w:type="pct"/>
            <w:vAlign w:val="center"/>
          </w:tcPr>
          <w:p w14:paraId="3925502A">
            <w:pPr>
              <w:widowControl/>
              <w:jc w:val="center"/>
              <w:rPr>
                <w:rFonts w:ascii="Times New Roman" w:hAnsi="Times New Roman" w:eastAsia="仿宋_GB2312" w:cs="Times New Roman"/>
                <w:b/>
                <w:bCs/>
                <w:kern w:val="44"/>
                <w:sz w:val="20"/>
                <w:szCs w:val="20"/>
              </w:rPr>
            </w:pPr>
            <w:r>
              <w:rPr>
                <w:rFonts w:ascii="Times New Roman" w:hAnsi="Times New Roman" w:eastAsia="仿宋_GB2312" w:cs="Times New Roman"/>
                <w:b/>
                <w:bCs/>
                <w:kern w:val="44"/>
                <w:sz w:val="20"/>
                <w:szCs w:val="20"/>
              </w:rPr>
              <w:t>保护级别</w:t>
            </w:r>
          </w:p>
        </w:tc>
        <w:tc>
          <w:tcPr>
            <w:tcW w:w="552" w:type="pct"/>
            <w:vAlign w:val="center"/>
          </w:tcPr>
          <w:p w14:paraId="6781341F">
            <w:pPr>
              <w:widowControl/>
              <w:jc w:val="center"/>
              <w:rPr>
                <w:rFonts w:ascii="Times New Roman" w:hAnsi="Times New Roman" w:eastAsia="仿宋_GB2312" w:cs="Times New Roman"/>
                <w:b/>
                <w:bCs/>
                <w:kern w:val="44"/>
                <w:sz w:val="20"/>
                <w:szCs w:val="20"/>
              </w:rPr>
            </w:pPr>
            <w:r>
              <w:rPr>
                <w:rFonts w:ascii="Times New Roman" w:hAnsi="Times New Roman" w:eastAsia="仿宋_GB2312" w:cs="Times New Roman"/>
                <w:b/>
                <w:bCs/>
                <w:kern w:val="44"/>
                <w:sz w:val="20"/>
                <w:szCs w:val="20"/>
              </w:rPr>
              <w:t>湿地面积</w:t>
            </w:r>
          </w:p>
          <w:p w14:paraId="62B98A70">
            <w:pPr>
              <w:widowControl/>
              <w:jc w:val="center"/>
              <w:rPr>
                <w:rFonts w:ascii="Times New Roman" w:hAnsi="Times New Roman" w:eastAsia="仿宋_GB2312" w:cs="Times New Roman"/>
                <w:b/>
                <w:bCs/>
                <w:kern w:val="44"/>
                <w:sz w:val="20"/>
                <w:szCs w:val="20"/>
              </w:rPr>
            </w:pPr>
            <w:r>
              <w:rPr>
                <w:rFonts w:ascii="Times New Roman" w:hAnsi="Times New Roman" w:eastAsia="仿宋_GB2312" w:cs="Times New Roman"/>
                <w:b/>
                <w:bCs/>
                <w:kern w:val="44"/>
                <w:sz w:val="20"/>
                <w:szCs w:val="20"/>
              </w:rPr>
              <w:t>（公顷）</w:t>
            </w:r>
          </w:p>
        </w:tc>
      </w:tr>
      <w:tr w14:paraId="3F5E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252" w:type="pct"/>
            <w:vAlign w:val="center"/>
          </w:tcPr>
          <w:p w14:paraId="505AB6E3">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1</w:t>
            </w:r>
          </w:p>
        </w:tc>
        <w:tc>
          <w:tcPr>
            <w:tcW w:w="600" w:type="pct"/>
            <w:vAlign w:val="center"/>
          </w:tcPr>
          <w:p w14:paraId="4326F590">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天津大黄堡湿地自然保护区（除重要湿地之外的部分）</w:t>
            </w:r>
          </w:p>
        </w:tc>
        <w:tc>
          <w:tcPr>
            <w:tcW w:w="853" w:type="pct"/>
            <w:vAlign w:val="center"/>
          </w:tcPr>
          <w:p w14:paraId="48A770A6">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大黄堡镇、崔黄口镇、上马台镇</w:t>
            </w:r>
          </w:p>
        </w:tc>
        <w:tc>
          <w:tcPr>
            <w:tcW w:w="514" w:type="pct"/>
            <w:vAlign w:val="center"/>
          </w:tcPr>
          <w:p w14:paraId="5A997A41">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沼泽湿地、人工湿地</w:t>
            </w:r>
          </w:p>
        </w:tc>
        <w:tc>
          <w:tcPr>
            <w:tcW w:w="939" w:type="pct"/>
            <w:vAlign w:val="center"/>
          </w:tcPr>
          <w:p w14:paraId="4CF3E34F">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湿地生态系统及其生物多样性，包括鸟类和其他野生动物、珍稀濒危物种等</w:t>
            </w:r>
          </w:p>
        </w:tc>
        <w:tc>
          <w:tcPr>
            <w:tcW w:w="769" w:type="pct"/>
            <w:vAlign w:val="center"/>
          </w:tcPr>
          <w:p w14:paraId="4364236B">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湿地面积不减少，保护区功能稳定，动植物种群稳定</w:t>
            </w:r>
          </w:p>
        </w:tc>
        <w:tc>
          <w:tcPr>
            <w:tcW w:w="521" w:type="pct"/>
            <w:vAlign w:val="center"/>
          </w:tcPr>
          <w:p w14:paraId="73AF91EA">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国家级自然保护区</w:t>
            </w:r>
          </w:p>
        </w:tc>
        <w:tc>
          <w:tcPr>
            <w:tcW w:w="552" w:type="pct"/>
            <w:vAlign w:val="center"/>
          </w:tcPr>
          <w:p w14:paraId="317DBA3D">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2869.61</w:t>
            </w:r>
          </w:p>
        </w:tc>
      </w:tr>
      <w:tr w14:paraId="38E9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52" w:type="pct"/>
            <w:vAlign w:val="center"/>
          </w:tcPr>
          <w:p w14:paraId="2AB896CF">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2</w:t>
            </w:r>
          </w:p>
        </w:tc>
        <w:tc>
          <w:tcPr>
            <w:tcW w:w="600" w:type="pct"/>
            <w:vAlign w:val="center"/>
          </w:tcPr>
          <w:p w14:paraId="067E5BB2">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天津武清永定河故道国家湿地公园（除重要湿地之外的部分）</w:t>
            </w:r>
          </w:p>
        </w:tc>
        <w:tc>
          <w:tcPr>
            <w:tcW w:w="853" w:type="pct"/>
            <w:vAlign w:val="center"/>
          </w:tcPr>
          <w:p w14:paraId="38905CA2">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黄庄街道</w:t>
            </w:r>
          </w:p>
        </w:tc>
        <w:tc>
          <w:tcPr>
            <w:tcW w:w="514" w:type="pct"/>
            <w:vAlign w:val="center"/>
          </w:tcPr>
          <w:p w14:paraId="153E89B2">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河流湿地、人工湿地</w:t>
            </w:r>
          </w:p>
        </w:tc>
        <w:tc>
          <w:tcPr>
            <w:tcW w:w="939" w:type="pct"/>
            <w:vAlign w:val="center"/>
          </w:tcPr>
          <w:p w14:paraId="1B353926">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湿地生态系统及其生物多样性</w:t>
            </w:r>
          </w:p>
        </w:tc>
        <w:tc>
          <w:tcPr>
            <w:tcW w:w="769" w:type="pct"/>
            <w:vAlign w:val="center"/>
          </w:tcPr>
          <w:p w14:paraId="63DE2538">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湿地面积不减少，满足行洪、排涝、灌溉、生态景观要求</w:t>
            </w:r>
          </w:p>
        </w:tc>
        <w:tc>
          <w:tcPr>
            <w:tcW w:w="521" w:type="pct"/>
            <w:vAlign w:val="center"/>
          </w:tcPr>
          <w:p w14:paraId="5C46BAF2">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国家湿地公园</w:t>
            </w:r>
          </w:p>
        </w:tc>
        <w:tc>
          <w:tcPr>
            <w:tcW w:w="552" w:type="pct"/>
            <w:vAlign w:val="center"/>
          </w:tcPr>
          <w:p w14:paraId="207EBB72">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37.91</w:t>
            </w:r>
          </w:p>
        </w:tc>
      </w:tr>
      <w:tr w14:paraId="264F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52" w:type="pct"/>
            <w:vAlign w:val="center"/>
          </w:tcPr>
          <w:p w14:paraId="79F58F59">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3</w:t>
            </w:r>
          </w:p>
        </w:tc>
        <w:tc>
          <w:tcPr>
            <w:tcW w:w="600" w:type="pct"/>
            <w:vAlign w:val="center"/>
          </w:tcPr>
          <w:p w14:paraId="5C895200">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王庆坨水库</w:t>
            </w:r>
          </w:p>
        </w:tc>
        <w:tc>
          <w:tcPr>
            <w:tcW w:w="853" w:type="pct"/>
            <w:vAlign w:val="center"/>
          </w:tcPr>
          <w:p w14:paraId="1B1BAFD5">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王庆坨镇</w:t>
            </w:r>
          </w:p>
        </w:tc>
        <w:tc>
          <w:tcPr>
            <w:tcW w:w="514" w:type="pct"/>
            <w:vAlign w:val="center"/>
          </w:tcPr>
          <w:p w14:paraId="10352C17">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人工湿地</w:t>
            </w:r>
          </w:p>
        </w:tc>
        <w:tc>
          <w:tcPr>
            <w:tcW w:w="939" w:type="pct"/>
            <w:vAlign w:val="center"/>
          </w:tcPr>
          <w:p w14:paraId="62E91A30">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水域和水源生态系统</w:t>
            </w:r>
          </w:p>
        </w:tc>
        <w:tc>
          <w:tcPr>
            <w:tcW w:w="769" w:type="pct"/>
            <w:vAlign w:val="center"/>
          </w:tcPr>
          <w:p w14:paraId="239E873E">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湿地面积不减少，满足饮用水水源地要求</w:t>
            </w:r>
          </w:p>
        </w:tc>
        <w:tc>
          <w:tcPr>
            <w:tcW w:w="521" w:type="pct"/>
            <w:vAlign w:val="center"/>
          </w:tcPr>
          <w:p w14:paraId="13B72D44">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生态保护红线</w:t>
            </w:r>
          </w:p>
        </w:tc>
        <w:tc>
          <w:tcPr>
            <w:tcW w:w="552" w:type="pct"/>
            <w:vAlign w:val="center"/>
          </w:tcPr>
          <w:p w14:paraId="75505813">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286.16</w:t>
            </w:r>
          </w:p>
        </w:tc>
      </w:tr>
      <w:tr w14:paraId="788F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52" w:type="pct"/>
            <w:vAlign w:val="center"/>
          </w:tcPr>
          <w:p w14:paraId="5F100AD0">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4</w:t>
            </w:r>
          </w:p>
        </w:tc>
        <w:tc>
          <w:tcPr>
            <w:tcW w:w="600" w:type="pct"/>
            <w:vAlign w:val="center"/>
          </w:tcPr>
          <w:p w14:paraId="057BB62B">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引滦明渠（武清段）</w:t>
            </w:r>
          </w:p>
        </w:tc>
        <w:tc>
          <w:tcPr>
            <w:tcW w:w="853" w:type="pct"/>
            <w:vAlign w:val="center"/>
          </w:tcPr>
          <w:p w14:paraId="7608329C">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上马台镇</w:t>
            </w:r>
          </w:p>
        </w:tc>
        <w:tc>
          <w:tcPr>
            <w:tcW w:w="514" w:type="pct"/>
            <w:vAlign w:val="center"/>
          </w:tcPr>
          <w:p w14:paraId="338A8435">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人工湿地</w:t>
            </w:r>
          </w:p>
        </w:tc>
        <w:tc>
          <w:tcPr>
            <w:tcW w:w="939" w:type="pct"/>
            <w:vAlign w:val="center"/>
          </w:tcPr>
          <w:p w14:paraId="63FEB0B4">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水域和水源生态系统</w:t>
            </w:r>
          </w:p>
        </w:tc>
        <w:tc>
          <w:tcPr>
            <w:tcW w:w="769" w:type="pct"/>
            <w:vAlign w:val="center"/>
          </w:tcPr>
          <w:p w14:paraId="3CCDE639">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湿地面积不减少，满足饮用水水源地要求</w:t>
            </w:r>
          </w:p>
        </w:tc>
        <w:tc>
          <w:tcPr>
            <w:tcW w:w="521" w:type="pct"/>
            <w:vAlign w:val="center"/>
          </w:tcPr>
          <w:p w14:paraId="4205E3B6">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生态保护红线</w:t>
            </w:r>
          </w:p>
        </w:tc>
        <w:tc>
          <w:tcPr>
            <w:tcW w:w="552" w:type="pct"/>
            <w:vAlign w:val="center"/>
          </w:tcPr>
          <w:p w14:paraId="76FD9022">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9.26</w:t>
            </w:r>
          </w:p>
        </w:tc>
      </w:tr>
      <w:tr w14:paraId="0C76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52" w:type="pct"/>
            <w:vAlign w:val="center"/>
          </w:tcPr>
          <w:p w14:paraId="32265043">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5</w:t>
            </w:r>
          </w:p>
        </w:tc>
        <w:tc>
          <w:tcPr>
            <w:tcW w:w="600" w:type="pct"/>
            <w:vAlign w:val="center"/>
          </w:tcPr>
          <w:p w14:paraId="02E1F3E2">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青龙湾防风固沙生态保护红线（武清段）</w:t>
            </w:r>
          </w:p>
        </w:tc>
        <w:tc>
          <w:tcPr>
            <w:tcW w:w="853" w:type="pct"/>
            <w:vAlign w:val="center"/>
          </w:tcPr>
          <w:p w14:paraId="3155DAE7">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下伍旗镇、崔黄口镇、河北屯镇</w:t>
            </w:r>
          </w:p>
        </w:tc>
        <w:tc>
          <w:tcPr>
            <w:tcW w:w="514" w:type="pct"/>
            <w:vAlign w:val="center"/>
          </w:tcPr>
          <w:p w14:paraId="45BB936E">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河流湿地</w:t>
            </w:r>
          </w:p>
        </w:tc>
        <w:tc>
          <w:tcPr>
            <w:tcW w:w="939" w:type="pct"/>
            <w:vAlign w:val="center"/>
          </w:tcPr>
          <w:p w14:paraId="4813C6B1">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河流湿地生态系统</w:t>
            </w:r>
          </w:p>
        </w:tc>
        <w:tc>
          <w:tcPr>
            <w:tcW w:w="769" w:type="pct"/>
            <w:vAlign w:val="center"/>
          </w:tcPr>
          <w:p w14:paraId="39BA4513">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湿地面积不减少，满足行洪、排涝、灌溉、生态景观要求</w:t>
            </w:r>
          </w:p>
        </w:tc>
        <w:tc>
          <w:tcPr>
            <w:tcW w:w="521" w:type="pct"/>
            <w:vAlign w:val="center"/>
          </w:tcPr>
          <w:p w14:paraId="39F8BC66">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生态保护红线</w:t>
            </w:r>
          </w:p>
        </w:tc>
        <w:tc>
          <w:tcPr>
            <w:tcW w:w="552" w:type="pct"/>
            <w:vAlign w:val="center"/>
          </w:tcPr>
          <w:p w14:paraId="16606E5F">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78.38</w:t>
            </w:r>
          </w:p>
        </w:tc>
      </w:tr>
      <w:tr w14:paraId="00E3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trPr>
        <w:tc>
          <w:tcPr>
            <w:tcW w:w="252" w:type="pct"/>
            <w:vAlign w:val="center"/>
          </w:tcPr>
          <w:p w14:paraId="4B58CA71">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6</w:t>
            </w:r>
          </w:p>
        </w:tc>
        <w:tc>
          <w:tcPr>
            <w:tcW w:w="600" w:type="pct"/>
            <w:vAlign w:val="center"/>
          </w:tcPr>
          <w:p w14:paraId="285B1CA8">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北运河（武清段除重要湿地之外的部分）</w:t>
            </w:r>
          </w:p>
        </w:tc>
        <w:tc>
          <w:tcPr>
            <w:tcW w:w="853" w:type="pct"/>
            <w:vAlign w:val="center"/>
          </w:tcPr>
          <w:p w14:paraId="4A671712">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下伍旗镇、河西务镇、大孟庄镇、大良镇、南蔡村镇、大碱厂镇、徐官屯街道、下朱庄街道、杨村街道、黄庄街道</w:t>
            </w:r>
          </w:p>
        </w:tc>
        <w:tc>
          <w:tcPr>
            <w:tcW w:w="514" w:type="pct"/>
            <w:vAlign w:val="center"/>
          </w:tcPr>
          <w:p w14:paraId="6FECF6A9">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河流湿地</w:t>
            </w:r>
          </w:p>
        </w:tc>
        <w:tc>
          <w:tcPr>
            <w:tcW w:w="939" w:type="pct"/>
            <w:vAlign w:val="center"/>
          </w:tcPr>
          <w:p w14:paraId="70BFAB86">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河流湿地生态系统</w:t>
            </w:r>
          </w:p>
        </w:tc>
        <w:tc>
          <w:tcPr>
            <w:tcW w:w="769" w:type="pct"/>
            <w:vAlign w:val="center"/>
          </w:tcPr>
          <w:p w14:paraId="042436E2">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湿地面积不减少，满足行洪、排涝、灌溉、生态景观要求</w:t>
            </w:r>
          </w:p>
        </w:tc>
        <w:tc>
          <w:tcPr>
            <w:tcW w:w="521" w:type="pct"/>
            <w:vAlign w:val="center"/>
          </w:tcPr>
          <w:p w14:paraId="7C5A31AC">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生态保护红线</w:t>
            </w:r>
          </w:p>
        </w:tc>
        <w:tc>
          <w:tcPr>
            <w:tcW w:w="552" w:type="pct"/>
            <w:vAlign w:val="center"/>
          </w:tcPr>
          <w:p w14:paraId="2B308ED1">
            <w:pPr>
              <w:widowControl/>
              <w:jc w:val="center"/>
              <w:rPr>
                <w:rFonts w:ascii="Times New Roman" w:hAnsi="Times New Roman" w:eastAsia="仿宋_GB2312" w:cs="Times New Roman"/>
                <w:kern w:val="44"/>
                <w:sz w:val="20"/>
                <w:szCs w:val="20"/>
              </w:rPr>
            </w:pPr>
            <w:r>
              <w:rPr>
                <w:rFonts w:ascii="Times New Roman" w:hAnsi="Times New Roman" w:eastAsia="仿宋_GB2312" w:cs="Times New Roman"/>
                <w:kern w:val="44"/>
                <w:sz w:val="20"/>
                <w:szCs w:val="20"/>
              </w:rPr>
              <w:t>75.77</w:t>
            </w:r>
          </w:p>
        </w:tc>
      </w:tr>
    </w:tbl>
    <w:p w14:paraId="34931E57">
      <w:pPr>
        <w:widowControl/>
        <w:jc w:val="left"/>
        <w:rPr>
          <w:rFonts w:ascii="Times New Roman" w:hAnsi="Times New Roman" w:eastAsia="仿宋_GB2312" w:cs="Times New Roman"/>
          <w:b/>
          <w:bCs/>
          <w:kern w:val="44"/>
          <w:sz w:val="36"/>
          <w:szCs w:val="36"/>
        </w:rPr>
      </w:pPr>
    </w:p>
    <w:p w14:paraId="36264417">
      <w:pPr>
        <w:widowControl/>
        <w:jc w:val="left"/>
        <w:rPr>
          <w:rFonts w:ascii="Times New Roman" w:hAnsi="Times New Roman" w:eastAsia="方正小标宋简体" w:cs="Times New Roman"/>
          <w:b/>
          <w:bCs/>
          <w:kern w:val="44"/>
          <w:sz w:val="44"/>
          <w:szCs w:val="44"/>
        </w:rPr>
      </w:pPr>
      <w:r>
        <w:rPr>
          <w:rFonts w:ascii="Times New Roman" w:hAnsi="Times New Roman" w:eastAsia="方正小标宋简体" w:cs="Times New Roman"/>
        </w:rPr>
        <w:br w:type="page"/>
      </w:r>
    </w:p>
    <w:p w14:paraId="64A4C1CD">
      <w:pPr>
        <w:pStyle w:val="2"/>
        <w:jc w:val="center"/>
        <w:rPr>
          <w:rFonts w:ascii="Times New Roman" w:hAnsi="Times New Roman" w:eastAsia="方正小标宋简体" w:cs="Times New Roman"/>
        </w:rPr>
      </w:pPr>
      <w:bookmarkStart w:id="30" w:name="_Toc210566633"/>
      <w:r>
        <w:rPr>
          <w:rFonts w:ascii="Times New Roman" w:hAnsi="Times New Roman" w:eastAsia="方正小标宋简体" w:cs="Times New Roman"/>
        </w:rPr>
        <w:t>附图1 武清区重要湿地分布图</w:t>
      </w:r>
      <w:bookmarkEnd w:id="30"/>
    </w:p>
    <w:p w14:paraId="09E6CB24">
      <w:pPr>
        <w:rPr>
          <w:rFonts w:ascii="Times New Roman" w:hAnsi="Times New Roman" w:cs="Times New Roman"/>
        </w:rPr>
      </w:pPr>
      <w:r>
        <w:rPr>
          <w:rFonts w:ascii="Times New Roman" w:hAnsi="Times New Roman" w:cs="Times New Roman"/>
        </w:rPr>
        <w:drawing>
          <wp:inline distT="0" distB="0" distL="0" distR="0">
            <wp:extent cx="4855210" cy="6861810"/>
            <wp:effectExtent l="0" t="0" r="2540" b="0"/>
            <wp:docPr id="7942781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78175" name="图片 4"/>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55432" cy="6861810"/>
                    </a:xfrm>
                    <a:prstGeom prst="rect">
                      <a:avLst/>
                    </a:prstGeom>
                    <a:noFill/>
                    <a:ln>
                      <a:noFill/>
                    </a:ln>
                  </pic:spPr>
                </pic:pic>
              </a:graphicData>
            </a:graphic>
          </wp:inline>
        </w:drawing>
      </w:r>
    </w:p>
    <w:p w14:paraId="34A551FB">
      <w:pPr>
        <w:rPr>
          <w:rFonts w:ascii="Times New Roman" w:hAnsi="Times New Roman" w:cs="Times New Roman"/>
        </w:rPr>
      </w:pPr>
    </w:p>
    <w:p w14:paraId="0AFFBFEF">
      <w:pPr>
        <w:pStyle w:val="2"/>
        <w:jc w:val="center"/>
        <w:rPr>
          <w:rFonts w:ascii="Times New Roman" w:hAnsi="Times New Roman" w:eastAsia="方正小标宋简体" w:cs="Times New Roman"/>
        </w:rPr>
      </w:pPr>
      <w:bookmarkStart w:id="31" w:name="_Toc210566634"/>
      <w:r>
        <w:rPr>
          <w:rFonts w:ascii="Times New Roman" w:hAnsi="Times New Roman" w:eastAsia="方正小标宋简体" w:cs="Times New Roman"/>
        </w:rPr>
        <w:t>附图2 武清区湿地分级管控布局图</w:t>
      </w:r>
      <w:bookmarkEnd w:id="31"/>
    </w:p>
    <w:p w14:paraId="1072DC83">
      <w:pPr>
        <w:rPr>
          <w:rFonts w:ascii="Times New Roman" w:hAnsi="Times New Roman" w:eastAsia="方正小标宋简体" w:cs="Times New Roman"/>
        </w:rPr>
      </w:pPr>
      <w:r>
        <w:rPr>
          <w:rFonts w:ascii="Times New Roman" w:hAnsi="Times New Roman" w:cs="Times New Roman"/>
        </w:rPr>
        <w:drawing>
          <wp:inline distT="0" distB="0" distL="0" distR="0">
            <wp:extent cx="5273675" cy="7453630"/>
            <wp:effectExtent l="0" t="0" r="3175" b="0"/>
            <wp:docPr id="8411165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16577" name="图片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09" cy="7453776"/>
                    </a:xfrm>
                    <a:prstGeom prst="rect">
                      <a:avLst/>
                    </a:prstGeom>
                    <a:noFill/>
                    <a:ln>
                      <a:noFill/>
                    </a:ln>
                  </pic:spPr>
                </pic:pic>
              </a:graphicData>
            </a:graphic>
          </wp:inline>
        </w:drawing>
      </w:r>
      <w:r>
        <w:rPr>
          <w:rFonts w:ascii="Times New Roman" w:hAnsi="Times New Roman" w:cs="Times New Roman"/>
        </w:rPr>
        <w:br w:type="textWrapping"/>
      </w:r>
    </w:p>
    <w:p w14:paraId="30795694">
      <w:pPr>
        <w:rPr>
          <w:rFonts w:ascii="Times New Roman" w:hAnsi="Times New Roman" w:eastAsia="仿宋_GB2312" w:cs="Times New Roman"/>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16A8F8A-C541-4478-9C67-5C797BEBE42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2" w:fontKey="{146F0EA6-BC68-4BFD-9F4D-9C56516886C8}"/>
  </w:font>
  <w:font w:name="方正小标宋简体">
    <w:panose1 w:val="03000509000000000000"/>
    <w:charset w:val="86"/>
    <w:family w:val="auto"/>
    <w:pitch w:val="default"/>
    <w:sig w:usb0="00000001" w:usb1="080E0000" w:usb2="00000000" w:usb3="00000000" w:csb0="00040000" w:csb1="00000000"/>
    <w:embedRegular r:id="rId3" w:fontKey="{54A523A8-3CB1-4B83-8F5B-01DBEE6813A6}"/>
  </w:font>
  <w:font w:name="微软雅黑">
    <w:panose1 w:val="020B0503020204020204"/>
    <w:charset w:val="86"/>
    <w:family w:val="swiss"/>
    <w:pitch w:val="default"/>
    <w:sig w:usb0="80000287" w:usb1="2ACF3C50" w:usb2="00000016" w:usb3="00000000" w:csb0="0004001F" w:csb1="00000000"/>
    <w:embedRegular r:id="rId4" w:fontKey="{8619CEC9-240B-4768-8AFB-F87B863F98FF}"/>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BE052">
    <w:pPr>
      <w:pStyle w:val="6"/>
      <w:rPr>
        <w:rFonts w:hint="eastAsia"/>
      </w:rPr>
    </w:pPr>
  </w:p>
  <w:p w14:paraId="52B96D4C">
    <w:pPr>
      <w:pStyle w:val="6"/>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7620527"/>
    </w:sdtPr>
    <w:sdtContent>
      <w:p w14:paraId="3BD27FDE">
        <w:pPr>
          <w:pStyle w:val="6"/>
          <w:jc w:val="center"/>
          <w:rPr>
            <w:rFonts w:hint="eastAsia"/>
          </w:rPr>
        </w:pPr>
        <w:r>
          <w:fldChar w:fldCharType="begin"/>
        </w:r>
        <w:r>
          <w:instrText xml:space="preserve">PAGE   \* MERGEFORMAT</w:instrText>
        </w:r>
        <w:r>
          <w:fldChar w:fldCharType="separate"/>
        </w:r>
        <w:r>
          <w:rPr>
            <w:lang w:val="zh-CN"/>
          </w:rPr>
          <w:t>26</w:t>
        </w:r>
        <w:r>
          <w:fldChar w:fldCharType="end"/>
        </w:r>
      </w:p>
    </w:sdtContent>
  </w:sdt>
  <w:p w14:paraId="15803953">
    <w:pPr>
      <w:pStyle w:val="6"/>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8B7"/>
    <w:rsid w:val="0000087A"/>
    <w:rsid w:val="00001497"/>
    <w:rsid w:val="0001233C"/>
    <w:rsid w:val="000141FC"/>
    <w:rsid w:val="000149EB"/>
    <w:rsid w:val="0003426C"/>
    <w:rsid w:val="00041BC5"/>
    <w:rsid w:val="00054CE7"/>
    <w:rsid w:val="00057CF3"/>
    <w:rsid w:val="00064F48"/>
    <w:rsid w:val="000857B0"/>
    <w:rsid w:val="0009516F"/>
    <w:rsid w:val="0009781E"/>
    <w:rsid w:val="000A1149"/>
    <w:rsid w:val="000A1CFC"/>
    <w:rsid w:val="000A3FAA"/>
    <w:rsid w:val="000A4D62"/>
    <w:rsid w:val="000A5EF9"/>
    <w:rsid w:val="000A6B2D"/>
    <w:rsid w:val="000B1863"/>
    <w:rsid w:val="000B4771"/>
    <w:rsid w:val="000B5F9A"/>
    <w:rsid w:val="000D41A3"/>
    <w:rsid w:val="000D673A"/>
    <w:rsid w:val="000D68D0"/>
    <w:rsid w:val="000D6B39"/>
    <w:rsid w:val="000D7CB1"/>
    <w:rsid w:val="000F24E3"/>
    <w:rsid w:val="00101C86"/>
    <w:rsid w:val="00101FC9"/>
    <w:rsid w:val="0010256C"/>
    <w:rsid w:val="00110647"/>
    <w:rsid w:val="00111796"/>
    <w:rsid w:val="0011201E"/>
    <w:rsid w:val="001160AD"/>
    <w:rsid w:val="00121390"/>
    <w:rsid w:val="00124DFB"/>
    <w:rsid w:val="00127EBC"/>
    <w:rsid w:val="001355AF"/>
    <w:rsid w:val="001360FB"/>
    <w:rsid w:val="001409D4"/>
    <w:rsid w:val="00141615"/>
    <w:rsid w:val="0014227A"/>
    <w:rsid w:val="00144532"/>
    <w:rsid w:val="00153587"/>
    <w:rsid w:val="00154F0F"/>
    <w:rsid w:val="00172369"/>
    <w:rsid w:val="00175F30"/>
    <w:rsid w:val="00176366"/>
    <w:rsid w:val="00177575"/>
    <w:rsid w:val="001807BB"/>
    <w:rsid w:val="0018140B"/>
    <w:rsid w:val="001857A0"/>
    <w:rsid w:val="00185A21"/>
    <w:rsid w:val="00191B0C"/>
    <w:rsid w:val="00192FB1"/>
    <w:rsid w:val="00195908"/>
    <w:rsid w:val="001B193F"/>
    <w:rsid w:val="001B1D80"/>
    <w:rsid w:val="001B7DDF"/>
    <w:rsid w:val="001C4080"/>
    <w:rsid w:val="001D3834"/>
    <w:rsid w:val="001D489D"/>
    <w:rsid w:val="001E5D73"/>
    <w:rsid w:val="001F06AC"/>
    <w:rsid w:val="001F0EAB"/>
    <w:rsid w:val="001F5003"/>
    <w:rsid w:val="001F7B2C"/>
    <w:rsid w:val="00202BCF"/>
    <w:rsid w:val="002041E9"/>
    <w:rsid w:val="00210246"/>
    <w:rsid w:val="00210853"/>
    <w:rsid w:val="00211096"/>
    <w:rsid w:val="002122BD"/>
    <w:rsid w:val="00220519"/>
    <w:rsid w:val="00226714"/>
    <w:rsid w:val="00226DCC"/>
    <w:rsid w:val="00227685"/>
    <w:rsid w:val="002349E8"/>
    <w:rsid w:val="00240E1F"/>
    <w:rsid w:val="00241389"/>
    <w:rsid w:val="00250A87"/>
    <w:rsid w:val="00250C27"/>
    <w:rsid w:val="00250FD2"/>
    <w:rsid w:val="00251C64"/>
    <w:rsid w:val="002535FF"/>
    <w:rsid w:val="0026141C"/>
    <w:rsid w:val="002626DC"/>
    <w:rsid w:val="00263AA4"/>
    <w:rsid w:val="002654B2"/>
    <w:rsid w:val="0027735A"/>
    <w:rsid w:val="00285EB4"/>
    <w:rsid w:val="00295000"/>
    <w:rsid w:val="002A0C41"/>
    <w:rsid w:val="002A750C"/>
    <w:rsid w:val="002B37C1"/>
    <w:rsid w:val="002B3FFE"/>
    <w:rsid w:val="002B42E6"/>
    <w:rsid w:val="002D288A"/>
    <w:rsid w:val="002E1978"/>
    <w:rsid w:val="002E1C51"/>
    <w:rsid w:val="002E1FF2"/>
    <w:rsid w:val="002E33AF"/>
    <w:rsid w:val="002E4071"/>
    <w:rsid w:val="002E5071"/>
    <w:rsid w:val="002E5918"/>
    <w:rsid w:val="002F0CDD"/>
    <w:rsid w:val="0030253B"/>
    <w:rsid w:val="00310586"/>
    <w:rsid w:val="00313D3A"/>
    <w:rsid w:val="00315EC1"/>
    <w:rsid w:val="0032322B"/>
    <w:rsid w:val="00326EDD"/>
    <w:rsid w:val="00327CA8"/>
    <w:rsid w:val="003323DC"/>
    <w:rsid w:val="003369BD"/>
    <w:rsid w:val="00343630"/>
    <w:rsid w:val="003500CD"/>
    <w:rsid w:val="00350365"/>
    <w:rsid w:val="00354122"/>
    <w:rsid w:val="00361B39"/>
    <w:rsid w:val="00363198"/>
    <w:rsid w:val="00366265"/>
    <w:rsid w:val="00371B9B"/>
    <w:rsid w:val="0037504F"/>
    <w:rsid w:val="003925B3"/>
    <w:rsid w:val="0039523A"/>
    <w:rsid w:val="003A00E7"/>
    <w:rsid w:val="003A0783"/>
    <w:rsid w:val="003A3BB7"/>
    <w:rsid w:val="003A4383"/>
    <w:rsid w:val="003A565E"/>
    <w:rsid w:val="003B2E13"/>
    <w:rsid w:val="003B39FB"/>
    <w:rsid w:val="003B479F"/>
    <w:rsid w:val="003D1B58"/>
    <w:rsid w:val="003D2515"/>
    <w:rsid w:val="003E02F3"/>
    <w:rsid w:val="003E1F31"/>
    <w:rsid w:val="003E46E9"/>
    <w:rsid w:val="003E7971"/>
    <w:rsid w:val="003F245F"/>
    <w:rsid w:val="0041478B"/>
    <w:rsid w:val="00416838"/>
    <w:rsid w:val="0042019A"/>
    <w:rsid w:val="00420472"/>
    <w:rsid w:val="00430FDC"/>
    <w:rsid w:val="004414D9"/>
    <w:rsid w:val="00444A28"/>
    <w:rsid w:val="00454F20"/>
    <w:rsid w:val="004566B8"/>
    <w:rsid w:val="00457AC7"/>
    <w:rsid w:val="004805C7"/>
    <w:rsid w:val="004A57C0"/>
    <w:rsid w:val="004B1688"/>
    <w:rsid w:val="004B7FAA"/>
    <w:rsid w:val="004C5233"/>
    <w:rsid w:val="004D07E7"/>
    <w:rsid w:val="004D2587"/>
    <w:rsid w:val="004D6F14"/>
    <w:rsid w:val="004D70AA"/>
    <w:rsid w:val="004E0562"/>
    <w:rsid w:val="004F65D5"/>
    <w:rsid w:val="005011BF"/>
    <w:rsid w:val="005030AD"/>
    <w:rsid w:val="00504DCD"/>
    <w:rsid w:val="005066C1"/>
    <w:rsid w:val="00511A24"/>
    <w:rsid w:val="00522C2A"/>
    <w:rsid w:val="00525844"/>
    <w:rsid w:val="00525FC7"/>
    <w:rsid w:val="005330DA"/>
    <w:rsid w:val="00536C72"/>
    <w:rsid w:val="00547B89"/>
    <w:rsid w:val="00547F1C"/>
    <w:rsid w:val="00550AB3"/>
    <w:rsid w:val="005638A6"/>
    <w:rsid w:val="00571191"/>
    <w:rsid w:val="00575146"/>
    <w:rsid w:val="00587311"/>
    <w:rsid w:val="005919E3"/>
    <w:rsid w:val="005A2D31"/>
    <w:rsid w:val="005A3873"/>
    <w:rsid w:val="005A7881"/>
    <w:rsid w:val="005B054C"/>
    <w:rsid w:val="005B0ECC"/>
    <w:rsid w:val="005C6BFE"/>
    <w:rsid w:val="005C7FA4"/>
    <w:rsid w:val="005D0279"/>
    <w:rsid w:val="005D127A"/>
    <w:rsid w:val="005D12FF"/>
    <w:rsid w:val="005D34CF"/>
    <w:rsid w:val="005D3BB2"/>
    <w:rsid w:val="005E1B64"/>
    <w:rsid w:val="005E3E7C"/>
    <w:rsid w:val="005E7EB4"/>
    <w:rsid w:val="005F32BD"/>
    <w:rsid w:val="00603906"/>
    <w:rsid w:val="006049E4"/>
    <w:rsid w:val="00613E82"/>
    <w:rsid w:val="00615A98"/>
    <w:rsid w:val="00627EA8"/>
    <w:rsid w:val="006312D7"/>
    <w:rsid w:val="00641530"/>
    <w:rsid w:val="00642D86"/>
    <w:rsid w:val="006574A2"/>
    <w:rsid w:val="00661750"/>
    <w:rsid w:val="00677FEE"/>
    <w:rsid w:val="00683468"/>
    <w:rsid w:val="00686718"/>
    <w:rsid w:val="00687AD8"/>
    <w:rsid w:val="00692D94"/>
    <w:rsid w:val="00694A6B"/>
    <w:rsid w:val="006B3B2A"/>
    <w:rsid w:val="006B509F"/>
    <w:rsid w:val="006B6AD9"/>
    <w:rsid w:val="006C59D1"/>
    <w:rsid w:val="006D174B"/>
    <w:rsid w:val="006D34E0"/>
    <w:rsid w:val="006D3FAC"/>
    <w:rsid w:val="006E21DE"/>
    <w:rsid w:val="006E4358"/>
    <w:rsid w:val="00703C04"/>
    <w:rsid w:val="007114F9"/>
    <w:rsid w:val="00722EFC"/>
    <w:rsid w:val="00723380"/>
    <w:rsid w:val="0072760D"/>
    <w:rsid w:val="007342B9"/>
    <w:rsid w:val="0073653A"/>
    <w:rsid w:val="00742267"/>
    <w:rsid w:val="00757301"/>
    <w:rsid w:val="00757599"/>
    <w:rsid w:val="00763C52"/>
    <w:rsid w:val="00770F3A"/>
    <w:rsid w:val="00771F13"/>
    <w:rsid w:val="00775FF9"/>
    <w:rsid w:val="00776EB4"/>
    <w:rsid w:val="00786520"/>
    <w:rsid w:val="007875E5"/>
    <w:rsid w:val="007A1464"/>
    <w:rsid w:val="007B10F8"/>
    <w:rsid w:val="007C1831"/>
    <w:rsid w:val="007C5D9D"/>
    <w:rsid w:val="007F07E4"/>
    <w:rsid w:val="007F0A6C"/>
    <w:rsid w:val="007F44AB"/>
    <w:rsid w:val="008011BF"/>
    <w:rsid w:val="00802056"/>
    <w:rsid w:val="00803FDD"/>
    <w:rsid w:val="00805D13"/>
    <w:rsid w:val="0080763D"/>
    <w:rsid w:val="00814AB6"/>
    <w:rsid w:val="0082250C"/>
    <w:rsid w:val="00824C29"/>
    <w:rsid w:val="0083061F"/>
    <w:rsid w:val="0083605B"/>
    <w:rsid w:val="00842FC1"/>
    <w:rsid w:val="00866367"/>
    <w:rsid w:val="00880D3A"/>
    <w:rsid w:val="00881BC7"/>
    <w:rsid w:val="0088712D"/>
    <w:rsid w:val="0089538B"/>
    <w:rsid w:val="00897171"/>
    <w:rsid w:val="008A35BB"/>
    <w:rsid w:val="008A54AF"/>
    <w:rsid w:val="008B79D5"/>
    <w:rsid w:val="008C11B9"/>
    <w:rsid w:val="008C7F5A"/>
    <w:rsid w:val="008D07F4"/>
    <w:rsid w:val="008D451F"/>
    <w:rsid w:val="008F6E61"/>
    <w:rsid w:val="008F7D82"/>
    <w:rsid w:val="00912685"/>
    <w:rsid w:val="009160F5"/>
    <w:rsid w:val="009236FC"/>
    <w:rsid w:val="00923EB9"/>
    <w:rsid w:val="0092623A"/>
    <w:rsid w:val="00931F9B"/>
    <w:rsid w:val="00935221"/>
    <w:rsid w:val="00941BC0"/>
    <w:rsid w:val="00942705"/>
    <w:rsid w:val="009437CD"/>
    <w:rsid w:val="00943F74"/>
    <w:rsid w:val="00955EB4"/>
    <w:rsid w:val="00957E68"/>
    <w:rsid w:val="00975113"/>
    <w:rsid w:val="00982ABF"/>
    <w:rsid w:val="00987062"/>
    <w:rsid w:val="00995313"/>
    <w:rsid w:val="00995B2C"/>
    <w:rsid w:val="009A4288"/>
    <w:rsid w:val="009A50B7"/>
    <w:rsid w:val="009A5CA4"/>
    <w:rsid w:val="009A61FC"/>
    <w:rsid w:val="009B142F"/>
    <w:rsid w:val="009B5AEF"/>
    <w:rsid w:val="009D4502"/>
    <w:rsid w:val="009E2A24"/>
    <w:rsid w:val="009F33AA"/>
    <w:rsid w:val="00A00DC8"/>
    <w:rsid w:val="00A01CDC"/>
    <w:rsid w:val="00A02CFE"/>
    <w:rsid w:val="00A05F36"/>
    <w:rsid w:val="00A2596E"/>
    <w:rsid w:val="00A266F2"/>
    <w:rsid w:val="00A30AB6"/>
    <w:rsid w:val="00A3103F"/>
    <w:rsid w:val="00A33273"/>
    <w:rsid w:val="00A33D89"/>
    <w:rsid w:val="00A3497D"/>
    <w:rsid w:val="00A36D3C"/>
    <w:rsid w:val="00A37AAE"/>
    <w:rsid w:val="00A4129B"/>
    <w:rsid w:val="00A41700"/>
    <w:rsid w:val="00A41E29"/>
    <w:rsid w:val="00A46DAB"/>
    <w:rsid w:val="00A56AE4"/>
    <w:rsid w:val="00A742CC"/>
    <w:rsid w:val="00A75ED3"/>
    <w:rsid w:val="00A767CF"/>
    <w:rsid w:val="00A84479"/>
    <w:rsid w:val="00A855D9"/>
    <w:rsid w:val="00A90760"/>
    <w:rsid w:val="00AA1068"/>
    <w:rsid w:val="00AA2FF7"/>
    <w:rsid w:val="00AA4947"/>
    <w:rsid w:val="00AB1940"/>
    <w:rsid w:val="00AB2AF5"/>
    <w:rsid w:val="00AC2D18"/>
    <w:rsid w:val="00AD38D7"/>
    <w:rsid w:val="00AD403E"/>
    <w:rsid w:val="00AE2810"/>
    <w:rsid w:val="00AE4143"/>
    <w:rsid w:val="00AE68A6"/>
    <w:rsid w:val="00AF1A1D"/>
    <w:rsid w:val="00AF2626"/>
    <w:rsid w:val="00AF2E4C"/>
    <w:rsid w:val="00B0299A"/>
    <w:rsid w:val="00B02D20"/>
    <w:rsid w:val="00B06748"/>
    <w:rsid w:val="00B10509"/>
    <w:rsid w:val="00B1285D"/>
    <w:rsid w:val="00B14530"/>
    <w:rsid w:val="00B14629"/>
    <w:rsid w:val="00B302D3"/>
    <w:rsid w:val="00B3141F"/>
    <w:rsid w:val="00B31E92"/>
    <w:rsid w:val="00B440F9"/>
    <w:rsid w:val="00B44F4E"/>
    <w:rsid w:val="00B50166"/>
    <w:rsid w:val="00B53BE7"/>
    <w:rsid w:val="00B57F7F"/>
    <w:rsid w:val="00B668DA"/>
    <w:rsid w:val="00B773A0"/>
    <w:rsid w:val="00B90FED"/>
    <w:rsid w:val="00BA0259"/>
    <w:rsid w:val="00BA11C8"/>
    <w:rsid w:val="00BA148C"/>
    <w:rsid w:val="00BA2737"/>
    <w:rsid w:val="00BA4683"/>
    <w:rsid w:val="00BA5B5C"/>
    <w:rsid w:val="00BA5C52"/>
    <w:rsid w:val="00BB06DE"/>
    <w:rsid w:val="00BB0F8D"/>
    <w:rsid w:val="00BB1314"/>
    <w:rsid w:val="00BB2BA4"/>
    <w:rsid w:val="00BB3C76"/>
    <w:rsid w:val="00BC42A8"/>
    <w:rsid w:val="00BD12DC"/>
    <w:rsid w:val="00BD79AE"/>
    <w:rsid w:val="00BE003C"/>
    <w:rsid w:val="00BE71C1"/>
    <w:rsid w:val="00BF458C"/>
    <w:rsid w:val="00BF5D31"/>
    <w:rsid w:val="00C144EC"/>
    <w:rsid w:val="00C2152C"/>
    <w:rsid w:val="00C22C64"/>
    <w:rsid w:val="00C22DD9"/>
    <w:rsid w:val="00C22E8F"/>
    <w:rsid w:val="00C2362C"/>
    <w:rsid w:val="00C30429"/>
    <w:rsid w:val="00C31AAD"/>
    <w:rsid w:val="00C31B89"/>
    <w:rsid w:val="00C31D3C"/>
    <w:rsid w:val="00C464FE"/>
    <w:rsid w:val="00C571CB"/>
    <w:rsid w:val="00C60C91"/>
    <w:rsid w:val="00C61E46"/>
    <w:rsid w:val="00C704FA"/>
    <w:rsid w:val="00C77DB1"/>
    <w:rsid w:val="00C80D91"/>
    <w:rsid w:val="00C8124A"/>
    <w:rsid w:val="00C812DD"/>
    <w:rsid w:val="00C87820"/>
    <w:rsid w:val="00C902C8"/>
    <w:rsid w:val="00C931C0"/>
    <w:rsid w:val="00CB5C46"/>
    <w:rsid w:val="00CB61FE"/>
    <w:rsid w:val="00CD28AE"/>
    <w:rsid w:val="00CD2D75"/>
    <w:rsid w:val="00CE2EB8"/>
    <w:rsid w:val="00CE7E40"/>
    <w:rsid w:val="00CE7E65"/>
    <w:rsid w:val="00CF4647"/>
    <w:rsid w:val="00D0224A"/>
    <w:rsid w:val="00D05229"/>
    <w:rsid w:val="00D05C52"/>
    <w:rsid w:val="00D25CBD"/>
    <w:rsid w:val="00D31591"/>
    <w:rsid w:val="00D31814"/>
    <w:rsid w:val="00D325A6"/>
    <w:rsid w:val="00D37620"/>
    <w:rsid w:val="00D3796F"/>
    <w:rsid w:val="00D37A02"/>
    <w:rsid w:val="00D74B0C"/>
    <w:rsid w:val="00D81C74"/>
    <w:rsid w:val="00DA2196"/>
    <w:rsid w:val="00DA5D82"/>
    <w:rsid w:val="00DB4B30"/>
    <w:rsid w:val="00DC2272"/>
    <w:rsid w:val="00DD3813"/>
    <w:rsid w:val="00DD55D0"/>
    <w:rsid w:val="00DE1BEF"/>
    <w:rsid w:val="00DE76D6"/>
    <w:rsid w:val="00E004C6"/>
    <w:rsid w:val="00E03BDB"/>
    <w:rsid w:val="00E1741A"/>
    <w:rsid w:val="00E3373D"/>
    <w:rsid w:val="00E34D9F"/>
    <w:rsid w:val="00E42CA9"/>
    <w:rsid w:val="00E44462"/>
    <w:rsid w:val="00E459A3"/>
    <w:rsid w:val="00E5105F"/>
    <w:rsid w:val="00E52D2C"/>
    <w:rsid w:val="00E56A88"/>
    <w:rsid w:val="00E74237"/>
    <w:rsid w:val="00E94AEB"/>
    <w:rsid w:val="00E95807"/>
    <w:rsid w:val="00EA7E30"/>
    <w:rsid w:val="00EB57B4"/>
    <w:rsid w:val="00EB5E9B"/>
    <w:rsid w:val="00EB67AC"/>
    <w:rsid w:val="00EB6AC3"/>
    <w:rsid w:val="00EB6E9B"/>
    <w:rsid w:val="00EC5361"/>
    <w:rsid w:val="00EE7326"/>
    <w:rsid w:val="00EE7F56"/>
    <w:rsid w:val="00EF38C8"/>
    <w:rsid w:val="00EF5983"/>
    <w:rsid w:val="00EF72BE"/>
    <w:rsid w:val="00F00161"/>
    <w:rsid w:val="00F03B65"/>
    <w:rsid w:val="00F158B7"/>
    <w:rsid w:val="00F34D5C"/>
    <w:rsid w:val="00F3799F"/>
    <w:rsid w:val="00F41714"/>
    <w:rsid w:val="00F50F74"/>
    <w:rsid w:val="00F51570"/>
    <w:rsid w:val="00F54912"/>
    <w:rsid w:val="00F615C0"/>
    <w:rsid w:val="00F80BA0"/>
    <w:rsid w:val="00FA0CC0"/>
    <w:rsid w:val="00FB0731"/>
    <w:rsid w:val="00FB0872"/>
    <w:rsid w:val="00FB2114"/>
    <w:rsid w:val="00FB2F25"/>
    <w:rsid w:val="00FD215E"/>
    <w:rsid w:val="00FD73AB"/>
    <w:rsid w:val="00FF47AA"/>
    <w:rsid w:val="00FF55BB"/>
    <w:rsid w:val="0A6532FA"/>
    <w:rsid w:val="35DC539B"/>
    <w:rsid w:val="3B51322D"/>
    <w:rsid w:val="427B4245"/>
    <w:rsid w:val="4D6A5635"/>
    <w:rsid w:val="5DDF4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9"/>
    <w:unhideWhenUsed/>
    <w:qFormat/>
    <w:uiPriority w:val="99"/>
    <w:pPr>
      <w:jc w:val="left"/>
    </w:pPr>
  </w:style>
  <w:style w:type="paragraph" w:styleId="5">
    <w:name w:val="Balloon Text"/>
    <w:basedOn w:val="1"/>
    <w:link w:val="27"/>
    <w:semiHidden/>
    <w:unhideWhenUsed/>
    <w:uiPriority w:val="99"/>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tabs>
        <w:tab w:val="center" w:pos="4153"/>
        <w:tab w:val="right" w:pos="8306"/>
      </w:tabs>
      <w:snapToGrid w:val="0"/>
      <w:jc w:val="center"/>
    </w:pPr>
    <w:rPr>
      <w:sz w:val="18"/>
      <w:szCs w:val="18"/>
    </w:rPr>
  </w:style>
  <w:style w:type="paragraph" w:styleId="8">
    <w:name w:val="toc 1"/>
    <w:basedOn w:val="1"/>
    <w:next w:val="1"/>
    <w:autoRedefine/>
    <w:unhideWhenUsed/>
    <w:qFormat/>
    <w:uiPriority w:val="39"/>
  </w:style>
  <w:style w:type="paragraph" w:styleId="9">
    <w:name w:val="toc 2"/>
    <w:basedOn w:val="1"/>
    <w:next w:val="1"/>
    <w:autoRedefine/>
    <w:unhideWhenUsed/>
    <w:qFormat/>
    <w:uiPriority w:val="39"/>
    <w:pPr>
      <w:ind w:left="420" w:leftChars="200"/>
    </w:pPr>
  </w:style>
  <w:style w:type="paragraph" w:styleId="10">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annotation subject"/>
    <w:basedOn w:val="4"/>
    <w:next w:val="4"/>
    <w:link w:val="30"/>
    <w:semiHidden/>
    <w:unhideWhenUsed/>
    <w:uiPriority w:val="99"/>
    <w:rPr>
      <w:b/>
      <w:bCs/>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styleId="16">
    <w:name w:val="annotation reference"/>
    <w:basedOn w:val="14"/>
    <w:semiHidden/>
    <w:unhideWhenUsed/>
    <w:uiPriority w:val="99"/>
    <w:rPr>
      <w:sz w:val="21"/>
      <w:szCs w:val="21"/>
    </w:rPr>
  </w:style>
  <w:style w:type="paragraph" w:customStyle="1" w:styleId="17">
    <w:name w:val="Default"/>
    <w:qFormat/>
    <w:uiPriority w:val="0"/>
    <w:pPr>
      <w:widowControl w:val="0"/>
      <w:autoSpaceDE w:val="0"/>
      <w:autoSpaceDN w:val="0"/>
      <w:adjustRightInd w:val="0"/>
    </w:pPr>
    <w:rPr>
      <w:rFonts w:ascii="仿宋" w:hAnsi="仿宋" w:cs="仿宋" w:eastAsiaTheme="minorEastAsia"/>
      <w:color w:val="000000"/>
      <w:sz w:val="24"/>
      <w:szCs w:val="24"/>
      <w:lang w:val="en-US" w:eastAsia="zh-CN" w:bidi="ar-SA"/>
    </w:rPr>
  </w:style>
  <w:style w:type="character" w:customStyle="1" w:styleId="18">
    <w:name w:val="页眉 字符"/>
    <w:basedOn w:val="14"/>
    <w:link w:val="7"/>
    <w:qFormat/>
    <w:uiPriority w:val="99"/>
    <w:rPr>
      <w:sz w:val="18"/>
      <w:szCs w:val="18"/>
    </w:rPr>
  </w:style>
  <w:style w:type="character" w:customStyle="1" w:styleId="19">
    <w:name w:val="页脚 字符"/>
    <w:basedOn w:val="14"/>
    <w:link w:val="6"/>
    <w:qFormat/>
    <w:uiPriority w:val="99"/>
    <w:rPr>
      <w:sz w:val="18"/>
      <w:szCs w:val="18"/>
    </w:rPr>
  </w:style>
  <w:style w:type="character" w:customStyle="1" w:styleId="20">
    <w:name w:val="标题 1 字符"/>
    <w:basedOn w:val="14"/>
    <w:link w:val="2"/>
    <w:qFormat/>
    <w:uiPriority w:val="9"/>
    <w:rPr>
      <w:b/>
      <w:bCs/>
      <w:kern w:val="44"/>
      <w:sz w:val="44"/>
      <w:szCs w:val="44"/>
    </w:rPr>
  </w:style>
  <w:style w:type="character" w:customStyle="1" w:styleId="21">
    <w:name w:val="标题 2 字符"/>
    <w:basedOn w:val="14"/>
    <w:link w:val="3"/>
    <w:qFormat/>
    <w:uiPriority w:val="9"/>
    <w:rPr>
      <w:rFonts w:asciiTheme="majorHAnsi" w:hAnsiTheme="majorHAnsi" w:eastAsiaTheme="majorEastAsia" w:cstheme="majorBidi"/>
      <w:b/>
      <w:bCs/>
      <w:sz w:val="32"/>
      <w:szCs w:val="32"/>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23">
    <w:name w:val="List Paragraph"/>
    <w:basedOn w:val="1"/>
    <w:qFormat/>
    <w:uiPriority w:val="34"/>
    <w:pPr>
      <w:ind w:firstLine="420" w:firstLineChars="200"/>
    </w:pPr>
  </w:style>
  <w:style w:type="table" w:customStyle="1" w:styleId="24">
    <w:name w:val="网格表 1 浅色1"/>
    <w:basedOn w:val="1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25">
    <w:name w:val="网格表 1 浅色 - 着色 61"/>
    <w:basedOn w:val="12"/>
    <w:qFormat/>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paragraph" w:customStyle="1" w:styleId="26">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7">
    <w:name w:val="批注框文本 字符"/>
    <w:basedOn w:val="14"/>
    <w:link w:val="5"/>
    <w:semiHidden/>
    <w:qFormat/>
    <w:uiPriority w:val="99"/>
    <w:rPr>
      <w:rFonts w:asciiTheme="minorHAnsi" w:hAnsiTheme="minorHAnsi" w:eastAsiaTheme="minorEastAsia" w:cstheme="minorBidi"/>
      <w:kern w:val="2"/>
      <w:sz w:val="18"/>
      <w:szCs w:val="18"/>
    </w:rPr>
  </w:style>
  <w:style w:type="paragraph" w:customStyle="1" w:styleId="28">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9">
    <w:name w:val="批注文字 字符"/>
    <w:basedOn w:val="14"/>
    <w:link w:val="4"/>
    <w:qFormat/>
    <w:uiPriority w:val="99"/>
    <w:rPr>
      <w:rFonts w:asciiTheme="minorHAnsi" w:hAnsiTheme="minorHAnsi" w:eastAsiaTheme="minorEastAsia" w:cstheme="minorBidi"/>
      <w:kern w:val="2"/>
      <w:sz w:val="21"/>
      <w:szCs w:val="22"/>
    </w:rPr>
  </w:style>
  <w:style w:type="character" w:customStyle="1" w:styleId="30">
    <w:name w:val="批注主题 字符"/>
    <w:basedOn w:val="29"/>
    <w:link w:val="11"/>
    <w:semiHidden/>
    <w:qFormat/>
    <w:uiPriority w:val="99"/>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70D67-4D18-4459-B763-4A0FD0AC1E47}">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11329</Words>
  <Characters>11597</Characters>
  <Lines>534</Lines>
  <Paragraphs>279</Paragraphs>
  <TotalTime>1513</TotalTime>
  <ScaleCrop>false</ScaleCrop>
  <LinksUpToDate>false</LinksUpToDate>
  <CharactersWithSpaces>11708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2025-08-20T07:45:00Z</dcterms:created>
  <dc:creator>Maxwell</dc:creator>
  <cp:lastModifiedBy>未知</cp:lastModifiedBy>
  <cp:lastPrinted>2025-10-27T02:41:00Z</cp:lastPrinted>
  <dcterms:modified xsi:type="dcterms:W3CDTF">2025-11-06T02:52:38Z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eyJoZGlkIjoiMWVjZmU3M2MwMDkzMGJmOTdiZjNmOTNmNDZiNzIyZWYiLCJ1c2VySWQiOiIyMzc3NzgxODYifQ==</vt:lpwstr>
  </property>
  <property fmtid="{D5CDD505-2E9C-101B-9397-08002B2CF9AE}" pid="3" name="KSOProductBuildVer">
    <vt:lpwstr>2052-12.1.0.23542</vt:lpwstr>
  </property>
  <property fmtid="{D5CDD505-2E9C-101B-9397-08002B2CF9AE}" pid="4" name="ICV">
    <vt:lpwstr>93D7E7C7F0904BFA9639AE7EAC1BF630_13</vt:lpwstr>
  </property>
</Properties>
</file>