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b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/>
          <w:bCs w:val="0"/>
          <w:snapToGrid w:val="0"/>
          <w:color w:val="auto"/>
          <w:kern w:val="0"/>
          <w:sz w:val="48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napToGrid w:val="0"/>
          <w:color w:val="auto"/>
          <w:kern w:val="0"/>
          <w:sz w:val="48"/>
          <w:szCs w:val="48"/>
          <w:highlight w:val="none"/>
        </w:rPr>
        <w:t>关于推动武清京津产业新城核心区高质量发展若干政策措施</w:t>
      </w:r>
      <w:r>
        <w:rPr>
          <w:rFonts w:hint="default" w:ascii="Times New Roman" w:hAnsi="Times New Roman" w:eastAsia="方正小标宋简体" w:cs="Times New Roman"/>
          <w:b/>
          <w:bCs w:val="0"/>
          <w:snapToGrid w:val="0"/>
          <w:color w:val="auto"/>
          <w:kern w:val="0"/>
          <w:sz w:val="48"/>
          <w:szCs w:val="48"/>
          <w:highlight w:val="none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2"/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征求意见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为深入实施京津冀协同发展和创新驱动发展重大国家战略，贯彻落实市委市政府“十项行动”，高标准推进武清京津产业新城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核心区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建设，制定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措施。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72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 w:bidi="ar-SA"/>
        </w:rPr>
        <w:t>本措施适用于入驻武清京津产业新城核心区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  <w:lang w:val="en-US" w:eastAsia="zh-CN" w:bidi="ar-SA"/>
        </w:rPr>
        <w:t>的企业和机构。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 w:bidi="ar-SA"/>
        </w:rPr>
        <w:t>设立“武清京津产业新城核心区建设发展专项资金”，支持集聚重点产业、提升创新能级、引育高质量项目、优化创新生态，建设科技创新策源地。专项资金由武清区政府负担，以三年为一周期，首期（2024年至2026年）每年基础额度3亿元，根据核心区建设发展评估结果进行相应调整。武清京津产业新城管委会负责专项资金的管理、使用和绩效评估等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723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、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支持重点产业发展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eastAsia" w:ascii="Times New Roman" w:hAnsi="Times New Roman" w:eastAsia="方正黑体简体" w:cs="Times New Roman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合成生物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产业发展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支持基因测序合成、生物元器件设计、合成生物设计与自动化、重要菌种及细胞株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开发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等共性技术平台建设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发展，给予最高800万元一次性支持。支持酶工程、发酵工程、抗体工程、血液制品和疫苗、DNA数字信息存储、数字细胞等技术成果在武清区转化，按照实际支付技术交易额的10%给予技术成果出让方补助，单个企业每年最高补助500万元。在药物原料、食品配料、医美产品等领域取得专业资质认证并在武清区产业化的，单个产品按照年度实际销售收入给予最高2%、不超过200万元的一次性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单个企业每年最高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支持1000万元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。加强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合成生物领域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知识产权保护和法律法规辅导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对主导制（修）订国际、国家、行业技术标准，获得市级财政资助资金的，按照1:1比例予以匹配。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支持中药产业发展。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聚焦智慧医疗和大健康产业领域，支持企业开展中药创新药、改良型新药、古代经典名方中药复方制剂、同名同方药、中药饮片等产品研发生产，按实际投入研发费用的30%给予支持，单个企业最高支持500万元；实现产业化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单个产品按照年度实际销售收入给予最高2%、不超过200万元的一次性支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单个企业每年最高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支持1000万元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核心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中药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药品上市许可持有人委托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武清区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企业提供生产服务的，对委托方按单个品种首次交易合同金额的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%，给予最高500万元支持，单个企业（机构）每年最高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支持生物制药产业发展。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基因治疗、细胞治疗、抗体药物、创新疫苗等高端生物制品及新型药物制剂研发平台发展，合同研发机构(CRO)、合同外包生产机构(CMO)、合同定制研发生产机构(CDMO)等平台为武清区企业提供专业化服务的，按认定实际服务额的10%予以支持，单个平台每年最高支持500万元。支持创新药品研发，对首次进入二期、三期临床试验阶段并实现病例入组，或首次取得药品注册许可证的，给予最高500万元资金支持。一类、二类创新药品在核心区产业化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单个产品按照年度实际销售收入给予最高2%、不超过200万元的一次性支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单个企业每年最高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支持1000万元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一类、二类创新药品上市许可持有人委托武清区企业提供生产服务的，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对委托方按单个品种首次交易合同金额的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%，给予最高500万元支持，单个企业（机构）每年最高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支持医疗器械产业发展。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聚焦监护及治疗设备和医疗诊断设备制造等领域，支持医用卫生材料、植入介入器械、体外诊断试剂等产品研发生产，对经国家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本市创新医疗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器械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特别审查程序，首次获得医疗器械注册证并在武清区实现产业化的产品，给予最高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00万元支持。对新获得二类、三类医疗器械注册证并在武清区实现产业化的企业，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单个产品按照年度实际销售收入给予最高2%、不超过200万元的一次性支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单个企业每年最高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支持500万元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二类、三类医疗器械注册人委托武清区企业提供生产服务的，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对委托方按单个品种首次交易合同金额的5%给予支持，单个企业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（机构）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每年最高支持500万元。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eastAsia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5.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智能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装备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产业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以电子信息、汽车制造等产业领域应用为导向，支持智能机器人、智能器件等核心技术及产品研发生产，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对纳入国家制造业单项冠军名单的企业、产品，分别给予最高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500万元、300万元一次性奖励。支持企业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开展“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智能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+场景”示范，对示范项目给予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300万元支持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。对列入国家或省级“首台（套）重大技术装备推广应用指导目录”的产品，按照单个产品规定期限内实际销售收入给予最高2%的资金支持，单个企业每年最高支持1000万元。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6.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支持数据应用产业发展。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对获批的国家“数字领航”企业，给予最高500万元一次性奖励；对获评国家级“双跨”工业互联网平台的，每个平台给予最高300万元一次性奖励；支持企业开展数据管理成熟度模型（DCMM）贯标等认证，给予最高50万元一次性奖励。支持企业开展算法研发、算力模型训练等，对于参数量达到一定规模、典型应用场景超过5个的模型，给予不超过项目总研发投入10%、最高300万元的资金支持。强化算力</w:t>
      </w:r>
      <w:r>
        <w:rPr>
          <w:rFonts w:hint="eastAsia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赋能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，</w:t>
      </w:r>
      <w:r>
        <w:rPr>
          <w:rFonts w:hint="eastAsia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使用武清区智算资源，提升数字化、智能化、信息化应用水平</w:t>
      </w:r>
      <w:r>
        <w:rPr>
          <w:rFonts w:hint="eastAsia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的，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按照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实际交易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额的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0%给予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，单个企业每年最高补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贴2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。支持数字经济企业加快发展，根据当年实际营业收入给予最高2%、不超过1000万元的一次性奖励。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、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支持科技创新发展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 xml:space="preserve">7. </w:t>
      </w:r>
      <w:r>
        <w:rPr>
          <w:rFonts w:hint="default" w:ascii="Times New Roman" w:hAnsi="Times New Roman" w:eastAsia="楷体_GB2312" w:cs="Times New Roman"/>
          <w:b/>
          <w:bCs w:val="0"/>
          <w:strike w:val="0"/>
          <w:dstrike w:val="0"/>
          <w:color w:val="auto"/>
          <w:sz w:val="36"/>
          <w:szCs w:val="36"/>
          <w:highlight w:val="none"/>
        </w:rPr>
        <w:t>支持</w:t>
      </w:r>
      <w:r>
        <w:rPr>
          <w:rFonts w:hint="default" w:ascii="Times New Roman" w:hAnsi="Times New Roman" w:eastAsia="楷体_GB2312" w:cs="Times New Roman"/>
          <w:b/>
          <w:bCs w:val="0"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>高能级</w:t>
      </w:r>
      <w:r>
        <w:rPr>
          <w:rFonts w:hint="default" w:ascii="Times New Roman" w:hAnsi="Times New Roman" w:eastAsia="楷体_GB2312" w:cs="Times New Roman"/>
          <w:b/>
          <w:bCs w:val="0"/>
          <w:strike w:val="0"/>
          <w:dstrike w:val="0"/>
          <w:color w:val="auto"/>
          <w:sz w:val="36"/>
          <w:szCs w:val="36"/>
          <w:highlight w:val="none"/>
        </w:rPr>
        <w:t>创新平台建设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对新认定的重点实验室、技术创新中心、制造业创新中心、企业技术中心、产业创新中心和工程研究中心等国家级、市级平台，给予最高500万元一次性支持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eastAsia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8.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支持关键核心技术攻关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。聚焦国家和市、区重大科技战略任务，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围绕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核心区主导产业领域关键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技术攻关，鼓励行业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龙头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企业或创新联合体等实施重大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项目，给予最高300万元资金支持。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9.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支持企业增量研发投入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u w:val="none"/>
        </w:rPr>
        <w:t>企业连续两年自主申报享受研发费用税前加计扣除政策，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u w:val="none"/>
          <w:lang w:eastAsia="zh-CN"/>
        </w:rPr>
        <w:t>且研发费用年度增长20万元（含）以上的，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u w:val="none"/>
          <w:lang w:val="en-US" w:eastAsia="zh-CN"/>
        </w:rPr>
        <w:t>给予研发费用增长额30%的奖励，单个企业每年最高奖励100万元。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10.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支持培育高质量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专利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企业、科研机构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培育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高质量专利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组合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，给予100万元奖励。对获得国家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市级专利奖的专利权人给予最高25万元一次性奖励。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对符合条件的国家级知识产权示范企业、优势企业分别给予15万元、10万元一次性奖励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对入选“天津市高质量知识产权创造试点项目”的单位，给予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万元一次性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奖励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以发明、实用新型专利权、商标等质押方式从金融机构获得贷款，按照贷款金额的2.5%给予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20万元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一次性贴息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11.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支持重大科技成果转化。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高校、科研院所、研发机构等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设立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科技成果转移转化机构，根据机构建设运营实效，给予最高200万元资金支持。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</w:t>
      </w:r>
      <w:r>
        <w:rPr>
          <w:rFonts w:hint="eastAsia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企业和机构在核心区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举办、承办创新创业大赛，对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在核心区创新创业大赛或省级以上创新创业大赛中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获奖并落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户核心区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项目给予最高100万元奖励</w:t>
      </w:r>
      <w:r>
        <w:rPr>
          <w:rFonts w:hint="eastAsia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trike w:val="0"/>
          <w:color w:val="auto"/>
          <w:sz w:val="36"/>
          <w:szCs w:val="36"/>
          <w:highlight w:val="none"/>
          <w:lang w:val="en-US" w:eastAsia="zh-CN"/>
        </w:rPr>
        <w:t>企业向非关联单位购买技术成果，在核心区实施转化的，按照实际支付技术交易额的30%给予补助，单个企业每年最高补助500万元。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12.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支持科技服务平台和机构发展。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鼓励高校院所、科技企业和研发机构等建设公共开放的研发设计、概念验证、检验检测、小试中试等专业化科技服务平台，根据运行绩效评估结果给予最高100万元一次性补助。鼓励武清区内企业购买和使用上述平台服务，按照服务合同金额的20%给予一次性补贴，单个企业每年最高补贴20万元。支持科技服务机构开展科技信息、知识产权、技术交易等综合性科技服务，根据绩效评价结果给予最高20万元补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三、支持高质量项目发展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13.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重点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落地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落户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实体项目（不含住宅类）两年内固定资产投资额度达到2000万元以上的，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房屋和构筑物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类固定资产投资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按项目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竣工后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计容建筑面积给予每平方米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1000元补贴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设备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及其他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类固定资产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按实际投资额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不含土地款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%给予最高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购地自建或购置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核心区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自持产业载体的，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建设周期内根据需要为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企业提供场地进行生产经营过渡，给予最高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年过渡期租金扶持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租赁核心区自持产业载体的，给予最高5年租金扶持。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14.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支持总部企业发展。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支持总部企业落地，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新引进的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央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国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企二三级总部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民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营企业总部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，给予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最高5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00万元一次性奖励；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对新引进的职能型总部机构和创新业务机构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，给予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最高2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00万元一次性奖励。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支持总部企业做大做强，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根据营业收入、研发投入等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高质量发展指标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综合评价结果给予一定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15.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支持产业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聚集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发展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。核心区主导产业领域基于供应链、产业链完整性落户的新项目，经综合评估后给予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200万元一次性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奖励。新项目由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武清区内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</w:rPr>
        <w:t>链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上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</w:rPr>
        <w:t>企业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主导引进的，给予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</w:rPr>
        <w:t>链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上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</w:rPr>
        <w:t>企业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  <w:lang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30万元一次性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奖励。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16.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支持企业发展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  <w:lang w:eastAsia="zh-CN"/>
        </w:rPr>
        <w:t>壮大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支持企业增资扩产，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已落户企业年度新增固定资产投资达到1000万元（含）以上的，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房屋和构筑物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类固定资产投资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按项目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竣工后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计容建筑面积给予每平方米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1000元补贴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设备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及其他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类固定资产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按实际投资额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不含土地款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%给予最高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  <w:t>00万元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  <w:lang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企业上市，对首次纳入全市“三个一批”上市项目清单的企业，分别给予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0万元、30万元、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0万元奖励。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支持企业“小升规”，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对首次达到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规上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”、“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限上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并纳统的企业，给予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0万元一次性奖励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eastAsia="楷体_GB2312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17.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highlight w:val="none"/>
        </w:rPr>
        <w:t>支持企业孵化培育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科技企业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孵化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租用核心区楼宇的，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享受5年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租金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扶持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，并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根据孵化机构考核评价结果，对获得的市级财政奖励资金按1:1比例予以匹配。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孵化机构内初创企业达到毕业条件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后迁出，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留在武清区发展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上一年度营业收入达到500万元以上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，给予15万元一次性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  <w:lang w:eastAsia="zh-CN"/>
        </w:rPr>
        <w:t>奖励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、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打造一流</w:t>
      </w: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创新生态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仿宋简体" w:cs="Times New Roman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18.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鼓励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产业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用地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高质量规划利用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鼓励集约用地、多元复合用地、盘活存量土地和存量建筑，享受既有规划、土地、不动产登记等相关政策，在符合相关规划要求的前提下，允许调整土地用途，提高配套服务设施比例，支持权利人提高建设用地容积率。鼓励功能复合楼宇建设，形成集生产、研发、中试、展示、配套为一体的综合高效利用的产业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19.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支持人才集聚。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支持企业人才落户，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经企业推荐的优秀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人才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，审批后办理。支持重点企业自主认定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区级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A、B、C类人才，认定期内可享受五项社会保险（单位缴纳部分）50%补贴支持。A类人才子女可根据本人意愿安置入学，B类人才子女可根据不同学段教育资源承载能力，统筹安置入学。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各类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人才在武清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新购家庭首套商品住房的，给予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最高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10万元一次性安居补贴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租赁住房的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给予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一定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租金补贴。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市场化主体建设运营人才公寓，经推荐获评天津市人才公寓的，按建筑面积给予一次性每平米最高500元补贴。积极拓展海外人才引进途径，对由机构引进的海外高层次人才获得国家级、市级人才奖励支持的，按人才奖励额度的30%，给予机构引才奖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20.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加大金融支撑服务力度。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支持核心区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引导基金让利社会资本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对基金管理机构及社会出资人实施投资进度奖励、超额收益让利、3年内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折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价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转让机制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支持投资机构投资核心区企业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按照实际投资额每投资1家企业最高奖励50万元。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支持企业融资，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对获得股权融资的企业，按照实际融资金额给予最高400万元奖励。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方正黑体简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21.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加强应用场景开放。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 w:bidi="ar-SA"/>
        </w:rPr>
        <w:t>开放应用场景吸引企业落地，支持企业参与武清区经济发展、城市治理和公共服务等重点领域建设，实践效果良好的推荐市级应用试点示范。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 xml:space="preserve">22. 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实行特殊物品进出口联合监管创新服务机制。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 w:bidi="ar-SA"/>
        </w:rPr>
        <w:t>推行特殊物品通关一体化，建立出入境特殊物品通关便利化试点，对特殊物品实施多部门联合监管服务机制，提升特殊物品通关便利化水平。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723" w:firstLineChars="200"/>
        <w:textAlignment w:val="auto"/>
        <w:outlineLvl w:val="0"/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五、附则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51"/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1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本政策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自发布之日起实施，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有效期三年。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同一扶持事项兑现执行就高不重复原则，具体内容由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武清京津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产业新城管委会负责解释。对符合扶持范围和内容，且产业示范带动效用明显、产业链重要环节的重大项目和企业，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合法合规前提下，可按照“一企一策”方式给予重点扶持。核心区企业（机构）有增资扩产或成果转化需求的，支持到武清区其他区域落户，享受转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入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6"/>
          <w:szCs w:val="36"/>
          <w:highlight w:val="none"/>
        </w:rPr>
        <w:t>地新项目落地支持政策的同时，原扶持政策支持额度与年限保持不变。</w:t>
      </w:r>
    </w:p>
    <w:sectPr>
      <w:footerReference r:id="rId3" w:type="default"/>
      <w:type w:val="continuous"/>
      <w:pgSz w:w="11906" w:h="16838"/>
      <w:pgMar w:top="2098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89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jM0YjFjYjU2MWQzODUyM2NmZDA4OGM3NTkwN2EifQ=="/>
  </w:docVars>
  <w:rsids>
    <w:rsidRoot w:val="417300EF"/>
    <w:rsid w:val="022C641E"/>
    <w:rsid w:val="03990047"/>
    <w:rsid w:val="03F705AC"/>
    <w:rsid w:val="07500A1D"/>
    <w:rsid w:val="082F092F"/>
    <w:rsid w:val="08FB3BB9"/>
    <w:rsid w:val="0E42523D"/>
    <w:rsid w:val="10671853"/>
    <w:rsid w:val="109E6D80"/>
    <w:rsid w:val="127E63BC"/>
    <w:rsid w:val="19C74864"/>
    <w:rsid w:val="1D500563"/>
    <w:rsid w:val="1EA372C0"/>
    <w:rsid w:val="20994D8B"/>
    <w:rsid w:val="249A33A6"/>
    <w:rsid w:val="27C714B3"/>
    <w:rsid w:val="312760E3"/>
    <w:rsid w:val="31F12C79"/>
    <w:rsid w:val="34C845C0"/>
    <w:rsid w:val="35F1A498"/>
    <w:rsid w:val="379F255E"/>
    <w:rsid w:val="3AC63FBB"/>
    <w:rsid w:val="3FFF2B6C"/>
    <w:rsid w:val="40362FE4"/>
    <w:rsid w:val="417300EF"/>
    <w:rsid w:val="417A5FC0"/>
    <w:rsid w:val="454C6685"/>
    <w:rsid w:val="46C95A27"/>
    <w:rsid w:val="48324F29"/>
    <w:rsid w:val="49AC3638"/>
    <w:rsid w:val="4A513E5D"/>
    <w:rsid w:val="4AAA5C63"/>
    <w:rsid w:val="4BC32CED"/>
    <w:rsid w:val="4E420C8E"/>
    <w:rsid w:val="58374AE4"/>
    <w:rsid w:val="5EA06D09"/>
    <w:rsid w:val="61C126BD"/>
    <w:rsid w:val="62AF264B"/>
    <w:rsid w:val="638B442C"/>
    <w:rsid w:val="654F4B0C"/>
    <w:rsid w:val="6B7800FD"/>
    <w:rsid w:val="6DEFCD9E"/>
    <w:rsid w:val="70583C4E"/>
    <w:rsid w:val="734657D2"/>
    <w:rsid w:val="744B3861"/>
    <w:rsid w:val="75922986"/>
    <w:rsid w:val="780F4512"/>
    <w:rsid w:val="799F0F51"/>
    <w:rsid w:val="7B665C0A"/>
    <w:rsid w:val="7BDE5F8A"/>
    <w:rsid w:val="7CEFC7E8"/>
    <w:rsid w:val="7F6B8D47"/>
    <w:rsid w:val="7FFB0A5B"/>
    <w:rsid w:val="DAFD1D52"/>
    <w:rsid w:val="DD778C7A"/>
    <w:rsid w:val="DE2BB90D"/>
    <w:rsid w:val="DF52736E"/>
    <w:rsid w:val="DFEB03E9"/>
    <w:rsid w:val="EDFF190F"/>
    <w:rsid w:val="F7EFA0FD"/>
    <w:rsid w:val="FB939154"/>
    <w:rsid w:val="FF5B1EBB"/>
    <w:rsid w:val="FF9F1E04"/>
    <w:rsid w:val="FFF3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2"/>
    <w:basedOn w:val="8"/>
    <w:qFormat/>
    <w:uiPriority w:val="0"/>
    <w:rPr>
      <w:rFonts w:ascii="方正楷体简体" w:hAnsi="方正楷体简体" w:eastAsia="方正楷体简体" w:cs="方正楷体简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121"/>
    <w:basedOn w:val="8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1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9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22325</Words>
  <Characters>23784</Characters>
  <Lines>0</Lines>
  <Paragraphs>0</Paragraphs>
  <TotalTime>40</TotalTime>
  <ScaleCrop>false</ScaleCrop>
  <LinksUpToDate>false</LinksUpToDate>
  <CharactersWithSpaces>23831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2023-11-21T10:55:00Z</dcterms:created>
  <dc:creator>战略发展部</dc:creator>
  <cp:lastModifiedBy>战略发展部</cp:lastModifiedBy>
  <cp:lastPrinted>2023-11-22T20:58:00Z</cp:lastPrinted>
  <dcterms:modified xsi:type="dcterms:W3CDTF">2023-11-27T09:12:36Z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CF129D8588E044D8B0ADED784EEC55A4_13</vt:lpwstr>
  </property>
</Properties>
</file>